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33.png" ContentType="image/png"/>
  <Override PartName="/word/media/rId36.png" ContentType="image/png"/>
  <Override PartName="/word/media/rId29.png" ContentType="image/png"/>
  <Override PartName="/word/media/rId26.png" ContentType="image/png"/>
  <Override PartName="/word/media/rId40.png" ContentType="image/png"/>
  <Override PartName="/word/media/rId44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Costlier Candles, Quiet Prophets: How Religion Meets Inflation in the Croatian Digital Media Space, 2021–2026</w:t>
      </w:r>
    </w:p>
    <w:p>
      <w:pPr>
        <w:pStyle w:val="FirstParagraph"/>
      </w:pPr>
      <w:r>
        <w:rPr>
          <w:b/>
          <w:bCs/>
        </w:rPr>
        <w:t xml:space="preserve">LUKA ŠIKIĆ</w:t>
      </w:r>
      <w:r>
        <w:t xml:space="preserve">, doc. dr. sc. *</w:t>
      </w:r>
      <w:r>
        <w:t xml:space="preserve"> </w:t>
      </w:r>
      <w:r>
        <w:t xml:space="preserve">Catholic University of Croatia (Hrvatsko katoličko sveučilište)</w:t>
      </w:r>
      <w:r>
        <w:t xml:space="preserve"> </w:t>
      </w:r>
      <w:r>
        <w:t xml:space="preserve">Department of Communication Studies</w:t>
      </w:r>
      <w:r>
        <w:t xml:space="preserve"> </w:t>
      </w:r>
      <w:r>
        <w:t xml:space="preserve">Zagreb, Croatia</w:t>
      </w:r>
    </w:p>
    <w:p>
      <w:pPr>
        <w:pStyle w:val="BodyText"/>
      </w:pPr>
      <w:r>
        <w:rPr>
          <w:b/>
          <w:bCs/>
        </w:rPr>
        <w:t xml:space="preserve">PETRA PALIĆ</w:t>
      </w:r>
      <w:r>
        <w:t xml:space="preserve">, izv. dr. sc.</w:t>
      </w:r>
      <w:r>
        <w:t xml:space="preserve"> </w:t>
      </w:r>
      <w:r>
        <w:t xml:space="preserve">Catholic University of Croatia (Hrvatsko katoličko sveučilište)</w:t>
      </w:r>
      <w:r>
        <w:t xml:space="preserve"> </w:t>
      </w:r>
      <w:r>
        <w:t xml:space="preserve">Department of Communication Studies</w:t>
      </w:r>
      <w:r>
        <w:t xml:space="preserve"> </w:t>
      </w:r>
      <w:r>
        <w:t xml:space="preserve">Zagreb, Croatia</w:t>
      </w:r>
    </w:p>
    <w:p>
      <w:pPr>
        <w:pStyle w:val="BodyText"/>
      </w:pPr>
      <w:r>
        <w:rPr>
          <w:b/>
          <w:bCs/>
        </w:rPr>
        <w:t xml:space="preserve">MISLAV SAGOVAC</w:t>
      </w:r>
      <w:r>
        <w:t xml:space="preserve">, dr. sc.</w:t>
      </w:r>
      <w:r>
        <w:t xml:space="preserve"> </w:t>
      </w:r>
      <w:r>
        <w:t xml:space="preserve">Catholic University of Croatia (Hrvatsko katoličko sveučilište)</w:t>
      </w:r>
      <w:r>
        <w:t xml:space="preserve"> </w:t>
      </w:r>
      <w:r>
        <w:t xml:space="preserve">Department of Communication Studies</w:t>
      </w:r>
      <w:r>
        <w:t xml:space="preserve"> </w:t>
      </w:r>
      <w:r>
        <w:t xml:space="preserve">Zagreb, Croatia</w:t>
      </w:r>
    </w:p>
    <w:p>
      <w:pPr>
        <w:pStyle w:val="BodyText"/>
      </w:pPr>
      <w:r>
        <w:t xml:space="preserve">Original scientific paper</w:t>
      </w:r>
      <w:r>
        <w:t xml:space="preserve"> </w:t>
      </w:r>
      <w:r>
        <w:t xml:space="preserve">UDK: [to be assigned by the journal]</w:t>
      </w:r>
      <w:r>
        <w:t xml:space="preserve"> </w:t>
      </w:r>
      <w:r>
        <w:t xml:space="preserve">doi: [to be assigned by the journal]</w:t>
      </w:r>
      <w:r>
        <w:t xml:space="preserve"> </w:t>
      </w:r>
      <w:r>
        <w:t xml:space="preserve">Received: [month and year, assigned upon submission]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Catholic Social Teaching (CST) calls the Church to name inflation as an injustice against the poor. We ask how that voice actually sounds in a national digital media space during a cost-of-living shock. From the DigiKat corpus of 710,307 religion-salient Croatian and Bosnian media posts (2021–2026), we isolate inflation mentions and separate genuine religion-inflation linkage from incidental co-occurrence. After coding 1,450 candidates with three language-model annotators, a measured domestic core of 520 posts remains. Within it, religion meets inflation overwhelmingly as an economic object: the rising cost of religious life and the Church as an institution together account for about 72% of posts, while the structural-justice register CST foregrounds reaches at most 8%. Media attention tracks real prices (Pearson r about 0.73), yet the religious justice voice does not fill it. In keyword-filtered corpora, co-occurrence is not engagement, and linkage must be measured, not counted.</w:t>
      </w:r>
    </w:p>
    <w:p>
      <w:pPr>
        <w:pStyle w:val="BodyText"/>
      </w:pPr>
      <w:r>
        <w:rPr>
          <w:b/>
          <w:bCs/>
        </w:rPr>
        <w:t xml:space="preserve">Keywords:</w:t>
      </w:r>
      <w:r>
        <w:t xml:space="preserve"> </w:t>
      </w:r>
      <w:r>
        <w:t xml:space="preserve">digital religion, inflation salience, Catholic Social Teaching, media framing, agenda-setting, Croatia, computational text analysis.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* Corresponding author: Luka Šikić, doc. dr. sc., Catholic University of Croatia, Department of Communication Studies / Hrvatsko katoličko sveučilište, Odjel za komunikologiju, Ilica 242, 10000 Zagreb, Croatia / Hrvatska, luka.sikic.gm@gmail.com</w:t>
      </w:r>
    </w:p>
    <w:p>
      <w:r>
        <w:pict>
          <v:rect style="width:0;height:1.5pt" o:hralign="center" o:hrstd="t" o:hr="t"/>
        </w:pict>
      </w:r>
    </w:p>
    <w:bookmarkStart w:id="20" w:name="introduction"/>
    <w:p>
      <w:pPr>
        <w:pStyle w:val="Heading2"/>
      </w:pPr>
      <w:r>
        <w:t xml:space="preserve">INTRODUCTION</w:t>
      </w:r>
    </w:p>
    <w:p>
      <w:pPr>
        <w:pStyle w:val="FirstParagraph"/>
      </w:pPr>
      <w:r>
        <w:t xml:space="preserve">Between 2021 and 2026 Croatia lived through the sharpest cost-of-living shock in a generation, compounded by the</w:t>
      </w:r>
      <w:r>
        <w:t xml:space="preserve"> </w:t>
      </w:r>
      <w:r>
        <w:t xml:space="preserve">adoption of the euro on 1 January 2023. Catholic Social Teaching has an unusually explicit stance on such</w:t>
      </w:r>
      <w:r>
        <w:t xml:space="preserve"> </w:t>
      </w:r>
      <w:r>
        <w:t xml:space="preserve">moments: from the</w:t>
      </w:r>
      <w:r>
        <w:t xml:space="preserve"> </w:t>
      </w:r>
      <w:r>
        <w:t xml:space="preserve">“preferential option for the poor”</w:t>
      </w:r>
      <w:r>
        <w:t xml:space="preserve"> </w:t>
      </w:r>
      <w:r>
        <w:t xml:space="preserve">to Pope Francis’s</w:t>
      </w:r>
      <w:r>
        <w:t xml:space="preserve"> </w:t>
      </w:r>
      <w:r>
        <w:t xml:space="preserve">“this economy kills”</w:t>
      </w:r>
      <w:r>
        <w:t xml:space="preserve"> </w:t>
      </w:r>
      <w:r>
        <w:t xml:space="preserve">(</w:t>
      </w:r>
      <w:r>
        <w:rPr>
          <w:i/>
          <w:iCs/>
        </w:rPr>
        <w:t xml:space="preserve">ova ekonomija</w:t>
      </w:r>
      <w:r>
        <w:rPr>
          <w:i/>
          <w:iCs/>
        </w:rPr>
        <w:t xml:space="preserve"> </w:t>
      </w:r>
      <w:r>
        <w:rPr>
          <w:i/>
          <w:iCs/>
        </w:rPr>
        <w:t xml:space="preserve">ubija</w:t>
      </w:r>
      <w:r>
        <w:t xml:space="preserve">), doctrine frames economic hardship as a structural injustice the Church is called to name on behalf</w:t>
      </w:r>
      <w:r>
        <w:t xml:space="preserve"> </w:t>
      </w:r>
      <w:r>
        <w:t xml:space="preserve">of the vulnerable. In a country where the Catholic Church is a dominant cultural institution and operates one</w:t>
      </w:r>
      <w:r>
        <w:t xml:space="preserve"> </w:t>
      </w:r>
      <w:r>
        <w:t xml:space="preserve">of Europe’s more developed religious media ecosystems, one might expect the digital public sphere to carry an</w:t>
      </w:r>
      <w:r>
        <w:t xml:space="preserve"> </w:t>
      </w:r>
      <w:r>
        <w:t xml:space="preserve">audible religious-economic voice when prices spike.</w:t>
      </w:r>
    </w:p>
    <w:p>
      <w:pPr>
        <w:pStyle w:val="BodyText"/>
      </w:pPr>
      <w:r>
        <w:t xml:space="preserve">This paper asks a deliberately simple question: when inflation surfaces in religion-salient Croatian digital</w:t>
      </w:r>
      <w:r>
        <w:t xml:space="preserve"> </w:t>
      </w:r>
      <w:r>
        <w:t xml:space="preserve">discourse, who carries it, and in what register? We do not assume the Church is loud on the economy. We</w:t>
      </w:r>
      <w:r>
        <w:t xml:space="preserve"> </w:t>
      </w:r>
      <w:r>
        <w:t xml:space="preserve">measure whether it is, and how. The answer turns out to be less about prophecy than about price lists.</w:t>
      </w:r>
    </w:p>
    <w:p>
      <w:pPr>
        <w:pStyle w:val="BodyText"/>
      </w:pPr>
      <w:r>
        <w:t xml:space="preserve">Three contributions follow. Substantively, we provide the first measurement of the religious register of</w:t>
      </w:r>
      <w:r>
        <w:t xml:space="preserve"> </w:t>
      </w:r>
      <w:r>
        <w:t xml:space="preserve">inflation discourse across an entire national digital media space, and we document a gap between CST’s normative</w:t>
      </w:r>
      <w:r>
        <w:t xml:space="preserve"> </w:t>
      </w:r>
      <w:r>
        <w:t xml:space="preserve">promise and observed practice. We combine this description with three hypotheses and three theory-derived propositions</w:t>
      </w:r>
      <w:r>
        <w:t xml:space="preserve"> </w:t>
      </w:r>
      <w:r>
        <w:t xml:space="preserve">(see below). One of them, that media inflation-attention tracks real prices, is tested quantitatively against</w:t>
      </w:r>
      <w:r>
        <w:t xml:space="preserve"> </w:t>
      </w:r>
      <w:r>
        <w:t xml:space="preserve">the Harmonised Index of Consumer Prices (HICP) and found to be partially supported. Another, the CST-derived</w:t>
      </w:r>
      <w:r>
        <w:t xml:space="preserve"> </w:t>
      </w:r>
      <w:r>
        <w:t xml:space="preserve">expectation of a prophetic justice voice, is evaluated and found not to be visible in the digital-news measure,</w:t>
      </w:r>
      <w:r>
        <w:t xml:space="preserve"> </w:t>
      </w:r>
      <w:r>
        <w:t xml:space="preserve">since a news corpus cannot test the actor-level claim about the Church itself. Methodologically, we show that</w:t>
      </w:r>
      <w:r>
        <w:t xml:space="preserve"> </w:t>
      </w:r>
      <w:r>
        <w:t xml:space="preserve">the naïve approach of counting posts where religion and inflation co-occur overstates genuine engagement by</w:t>
      </w:r>
      <w:r>
        <w:t xml:space="preserve"> </w:t>
      </w:r>
      <w:r>
        <w:t xml:space="preserve">roughly an order of magnitude (about 8,000 co-mentions versus 520 measured), and we demonstrate a validated</w:t>
      </w:r>
      <w:r>
        <w:t xml:space="preserve"> </w:t>
      </w:r>
      <w:r>
        <w:t xml:space="preserve">pipeline for measuring linkage rather than co-occurrence.</w:t>
      </w:r>
    </w:p>
    <w:bookmarkEnd w:id="20"/>
    <w:bookmarkStart w:id="22" w:name="background-and-hypotheses"/>
    <w:p>
      <w:pPr>
        <w:pStyle w:val="Heading2"/>
      </w:pPr>
      <w:r>
        <w:t xml:space="preserve">BACKGROUND AND HYPOTHESES</w:t>
      </w:r>
    </w:p>
    <w:p>
      <w:pPr>
        <w:pStyle w:val="FirstParagraph"/>
      </w:pPr>
      <w:r>
        <w:t xml:space="preserve">The study sits at the intersection of three literatures that are each well developed but rarely meet.</w:t>
      </w:r>
    </w:p>
    <w:p>
      <w:pPr>
        <w:pStyle w:val="BodyText"/>
      </w:pPr>
      <w:r>
        <w:t xml:space="preserve">Public and media attention to inflation is non-linear. It stays flat until inflation crosses a threshold of</w:t>
      </w:r>
      <w:r>
        <w:t xml:space="preserve"> </w:t>
      </w:r>
      <w:r>
        <w:t xml:space="preserve">roughly 2 to 4%, then jumps (Korenok, Munro and Chen, 2026; Pfäuti, 2024). Coverage is less about the headline</w:t>
      </w:r>
      <w:r>
        <w:t xml:space="preserve"> </w:t>
      </w:r>
      <w:r>
        <w:t xml:space="preserve">rate than about who is hurt and which component, reflected in the</w:t>
      </w:r>
      <w:r>
        <w:t xml:space="preserve"> </w:t>
      </w:r>
      <w:r>
        <w:t xml:space="preserve">“heating or eating”</w:t>
      </w:r>
      <w:r>
        <w:t xml:space="preserve"> </w:t>
      </w:r>
      <w:r>
        <w:t xml:space="preserve">framing of food</w:t>
      </w:r>
      <w:r>
        <w:t xml:space="preserve"> </w:t>
      </w:r>
      <w:r>
        <w:t xml:space="preserve">versus energy (Champagne et al., 2024). The European Central Bank now maintains a dictionary-based media</w:t>
      </w:r>
      <w:r>
        <w:t xml:space="preserve"> </w:t>
      </w:r>
      <w:r>
        <w:t xml:space="preserve">inflation-attention index (Aarab et al., 2025). Agenda-setting theory (McCombs and Shaw, 1972) is the backdrop,</w:t>
      </w:r>
      <w:r>
        <w:t xml:space="preserve"> </w:t>
      </w:r>
      <w:r>
        <w:t xml:space="preserve">with an open question of whether media set or merely reflect attention (Wlezien and Soroka, 2024). A second</w:t>
      </w:r>
      <w:r>
        <w:t xml:space="preserve"> </w:t>
      </w:r>
      <w:r>
        <w:t xml:space="preserve">level of that theory matters here. Attribute agenda-setting (McCombs, 2004) holds that media transfer not</w:t>
      </w:r>
      <w:r>
        <w:t xml:space="preserve"> </w:t>
      </w:r>
      <w:r>
        <w:t xml:space="preserve">only the salience of an issue but the salience of its attributes. Our register question is precisely an</w:t>
      </w:r>
      <w:r>
        <w:t xml:space="preserve"> </w:t>
      </w:r>
      <w:r>
        <w:t xml:space="preserve">attribute question: it asks not whether religion-and-inflation is on the agenda, but which of its faces (the</w:t>
      </w:r>
      <w:r>
        <w:t xml:space="preserve"> </w:t>
      </w:r>
      <w:r>
        <w:t xml:space="preserve">fee, the charity, the injustice) becomes salient. This literature is almost entirely secular and Anglophone or</w:t>
      </w:r>
      <w:r>
        <w:t xml:space="preserve"> </w:t>
      </w:r>
      <w:r>
        <w:t xml:space="preserve">euro-area. It says nothing about the religious media sphere as an inflation channel.</w:t>
      </w:r>
    </w:p>
    <w:p>
      <w:pPr>
        <w:pStyle w:val="BodyText"/>
      </w:pPr>
      <w:r>
        <w:t xml:space="preserve">A second literature concerns CST economic framing. The theological distinction between charity (relieving</w:t>
      </w:r>
      <w:r>
        <w:t xml:space="preserve"> </w:t>
      </w:r>
      <w:r>
        <w:t xml:space="preserve">symptoms) and justice (changing structures) maps closely onto Iyengar’s (1991) episodic-versus-thematic</w:t>
      </w:r>
      <w:r>
        <w:t xml:space="preserve"> </w:t>
      </w:r>
      <w:r>
        <w:t xml:space="preserve">framing and gives us a measurable construct. The structural critique is not only a Francis-era phenomenon</w:t>
      </w:r>
      <w:r>
        <w:t xml:space="preserve"> </w:t>
      </w:r>
      <w:r>
        <w:t xml:space="preserve">(Benedict XVI, 2009; Francis, 2013). But existing studies examine secular press coverage of poverty, not</w:t>
      </w:r>
      <w:r>
        <w:t xml:space="preserve"> </w:t>
      </w:r>
      <w:r>
        <w:t xml:space="preserve">religious media as the storyteller.</w:t>
      </w:r>
    </w:p>
    <w:p>
      <w:pPr>
        <w:pStyle w:val="BodyText"/>
      </w:pPr>
      <w:r>
        <w:t xml:space="preserve">A third literature concerns Croatian Catholic media, which are well studied on identity, nation, and</w:t>
      </w:r>
      <w:r>
        <w:t xml:space="preserve"> </w:t>
      </w:r>
      <w:r>
        <w:t xml:space="preserve">culture-war themes, but whose coverage of the economy has never been measured, still less linked to a live</w:t>
      </w:r>
      <w:r>
        <w:t xml:space="preserve"> </w:t>
      </w:r>
      <w:r>
        <w:t xml:space="preserve">cost-of-living shock.</w:t>
      </w:r>
    </w:p>
    <w:p>
      <w:pPr>
        <w:pStyle w:val="BodyText"/>
      </w:pPr>
      <w:r>
        <w:t xml:space="preserve">A gap follows, along with a fourth, methodological one. No work has asked what register religion takes when it</w:t>
      </w:r>
      <w:r>
        <w:t xml:space="preserve"> </w:t>
      </w:r>
      <w:r>
        <w:t xml:space="preserve">meets inflation in a whole national digital space. And studies of</w:t>
      </w:r>
      <w:r>
        <w:t xml:space="preserve"> </w:t>
      </w:r>
      <w:r>
        <w:t xml:space="preserve">“religion and X”</w:t>
      </w:r>
      <w:r>
        <w:t xml:space="preserve"> </w:t>
      </w:r>
      <w:r>
        <w:t xml:space="preserve">in large corpora routinely</w:t>
      </w:r>
      <w:r>
        <w:t xml:space="preserve"> </w:t>
      </w:r>
      <w:r>
        <w:t xml:space="preserve">equate co-occurrence with engagement. We show below why that is unsafe here.</w:t>
      </w:r>
    </w:p>
    <w:bookmarkStart w:id="21" w:name="hypotheses-and-propositions"/>
    <w:p>
      <w:pPr>
        <w:pStyle w:val="Heading3"/>
      </w:pPr>
      <w:r>
        <w:t xml:space="preserve">Hypotheses and propositions</w:t>
      </w:r>
    </w:p>
    <w:p>
      <w:pPr>
        <w:pStyle w:val="FirstParagraph"/>
      </w:pPr>
      <w:r>
        <w:t xml:space="preserve">The study is primarily descriptive, but prior theory licenses explicit, testable expectations. We state three</w:t>
      </w:r>
      <w:r>
        <w:t xml:space="preserve"> </w:t>
      </w:r>
      <w:r>
        <w:t xml:space="preserve">directional hypotheses, each predicting a pattern that the data allow us to test formally, and three</w:t>
      </w:r>
      <w:r>
        <w:t xml:space="preserve"> </w:t>
      </w:r>
      <w:r>
        <w:t xml:space="preserve">propositions, evaluated by pattern-matching against the coded evidence in the interpretive tradition (Yin,</w:t>
      </w:r>
      <w:r>
        <w:t xml:space="preserve"> </w:t>
      </w:r>
      <w:r>
        <w:t xml:space="preserve">2018).</w:t>
      </w:r>
    </w:p>
    <w:p>
      <w:pPr>
        <w:pStyle w:val="BodyText"/>
      </w:pPr>
      <w:r>
        <w:t xml:space="preserve">The first hypothesis (H1) concerns attention and prices. From inflation-salience and agenda-setting theory,</w:t>
      </w:r>
      <w:r>
        <w:t xml:space="preserve"> </w:t>
      </w:r>
      <w:r>
        <w:t xml:space="preserve">media attention to inflation should rise with the real HICP and jump once inflation crosses a threshold of</w:t>
      </w:r>
      <w:r>
        <w:t xml:space="preserve"> </w:t>
      </w:r>
      <w:r>
        <w:t xml:space="preserve">about 4%, with the food and energy components at least as salient as the headline rate. We test it against the</w:t>
      </w:r>
      <w:r>
        <w:t xml:space="preserve"> </w:t>
      </w:r>
      <w:r>
        <w:t xml:space="preserve">Croatian HICP with a correlation and a threshold contrast.</w:t>
      </w:r>
    </w:p>
    <w:p>
      <w:pPr>
        <w:pStyle w:val="BodyText"/>
      </w:pPr>
      <w:r>
        <w:t xml:space="preserve">The second hypothesis (H2) concerns who carries which register. Attribute agenda-setting holds that different</w:t>
      </w:r>
      <w:r>
        <w:t xml:space="preserve"> </w:t>
      </w:r>
      <w:r>
        <w:t xml:space="preserve">outlets make different attributes of an issue salient (McCombs, 2004), and the idea of a division of narrative</w:t>
      </w:r>
      <w:r>
        <w:t xml:space="preserve"> </w:t>
      </w:r>
      <w:r>
        <w:t xml:space="preserve">labour suggests that secular and religious outlets tell different stories about the same shock. The register in</w:t>
      </w:r>
      <w:r>
        <w:t xml:space="preserve"> </w:t>
      </w:r>
      <w:r>
        <w:t xml:space="preserve">which religion meets inflation should therefore depend on the type of outlet, rather than being the same across</w:t>
      </w:r>
      <w:r>
        <w:t xml:space="preserve"> </w:t>
      </w:r>
      <w:r>
        <w:t xml:space="preserve">the media space. We test this with a chi-square test of independence between register and outlet type.</w:t>
      </w:r>
    </w:p>
    <w:p>
      <w:pPr>
        <w:pStyle w:val="BodyText"/>
      </w:pPr>
      <w:r>
        <w:t xml:space="preserve">The third hypothesis (H3) concerns tone. The tone of inflation news, not only its volume, shapes how audiences</w:t>
      </w:r>
      <w:r>
        <w:t xml:space="preserve"> </w:t>
      </w:r>
      <w:r>
        <w:t xml:space="preserve">read it (Lamla and Maag, 2012), and a complaint about rising religious costs is a different kind of story from</w:t>
      </w:r>
      <w:r>
        <w:t xml:space="preserve"> </w:t>
      </w:r>
      <w:r>
        <w:t xml:space="preserve">pastoral commentary or a relief appeal. The tone of a post should therefore depend on its register. We test</w:t>
      </w:r>
      <w:r>
        <w:t xml:space="preserve"> </w:t>
      </w:r>
      <w:r>
        <w:t xml:space="preserve">this with a chi-square test of independence between register and tone.</w:t>
      </w:r>
    </w:p>
    <w:p>
      <w:pPr>
        <w:pStyle w:val="BodyText"/>
      </w:pPr>
      <w:r>
        <w:t xml:space="preserve">Three propositions follow, evaluated by pattern-matching rather than a formal test. The first (P1) concerns</w:t>
      </w:r>
      <w:r>
        <w:t xml:space="preserve"> </w:t>
      </w:r>
      <w:r>
        <w:t xml:space="preserve">resonance rather than setting: religious inflation coverage should resonate with real conditions rather than</w:t>
      </w:r>
      <w:r>
        <w:t xml:space="preserve"> </w:t>
      </w:r>
      <w:r>
        <w:t xml:space="preserve">lead them, entering the discourse reactively as an affected party. The second (P2) is the prophetic-actor</w:t>
      </w:r>
      <w:r>
        <w:t xml:space="preserve"> </w:t>
      </w:r>
      <w:r>
        <w:t xml:space="preserve">proposition: if the Church acts as a prophetic economic voice in the digital public sphere, the structural or</w:t>
      </w:r>
      <w:r>
        <w:t xml:space="preserve"> </w:t>
      </w:r>
      <w:r>
        <w:t xml:space="preserve">CST-justice register should be non-trivial and should rise with hardship. The third (P3), following Iyengar</w:t>
      </w:r>
      <w:r>
        <w:t xml:space="preserve"> </w:t>
      </w:r>
      <w:r>
        <w:t xml:space="preserve">(1991), holds that framing should be episodic rather than thematic, with relief, institutional, and price-of-</w:t>
      </w:r>
      <w:r>
        <w:t xml:space="preserve"> </w:t>
      </w:r>
      <w:r>
        <w:t xml:space="preserve">service framing dominating the structural critique.</w:t>
      </w:r>
    </w:p>
    <w:p>
      <w:pPr>
        <w:pStyle w:val="BodyText"/>
      </w:pPr>
      <w:r>
        <w:t xml:space="preserve">We keep the inferential machinery modest and matched to what observational data of this kind can bear. The</w:t>
      </w:r>
      <w:r>
        <w:t xml:space="preserve"> </w:t>
      </w:r>
      <w:r>
        <w:t xml:space="preserve">three hypotheses are tested with a correlation, a threshold contrast, and two chi-square tests, and the three</w:t>
      </w:r>
      <w:r>
        <w:t xml:space="preserve"> </w:t>
      </w:r>
      <w:r>
        <w:t xml:space="preserve">propositions are evaluated by pattern-matching against the register distribution and its time path.</w:t>
      </w:r>
    </w:p>
    <w:bookmarkEnd w:id="21"/>
    <w:bookmarkEnd w:id="22"/>
    <w:bookmarkStart w:id="23" w:name="data-and-methods"/>
    <w:p>
      <w:pPr>
        <w:pStyle w:val="Heading2"/>
      </w:pPr>
      <w:r>
        <w:t xml:space="preserve">DATA AND METHODS</w:t>
      </w:r>
    </w:p>
    <w:p>
      <w:pPr>
        <w:pStyle w:val="FirstParagraph"/>
      </w:pPr>
      <w:r>
        <w:t xml:space="preserve">The DigiKat master is a topical corpus of 710,307 Croatian and Bosnian media posts collected continuously from</w:t>
      </w:r>
      <w:r>
        <w:t xml:space="preserve"> </w:t>
      </w:r>
      <w:r>
        <w:t xml:space="preserve">January 2021 to June 2026. A post enters the corpus when it contains at least two distinct religious terms. The</w:t>
      </w:r>
      <w:r>
        <w:t xml:space="preserve"> </w:t>
      </w:r>
      <w:r>
        <w:t xml:space="preserve">corpus therefore holds religion-salient posts from across the whole media space, not a Catholic-outlet archive.</w:t>
      </w:r>
      <w:r>
        <w:t xml:space="preserve"> </w:t>
      </w:r>
      <w:r>
        <w:t xml:space="preserve">Secular mainstream outlets dominate, and 96% of the core is web-portal content, with 2% from Facebook and the</w:t>
      </w:r>
      <w:r>
        <w:t xml:space="preserve"> </w:t>
      </w:r>
      <w:r>
        <w:t xml:space="preserve">rest negligible. Collection intensity was not perfectly uniform over the six years, so year-to-year volumes are</w:t>
      </w:r>
      <w:r>
        <w:t xml:space="preserve"> </w:t>
      </w:r>
      <w:r>
        <w:t xml:space="preserve">best read as indicative rather than exact.</w:t>
      </w:r>
    </w:p>
    <w:p>
      <w:pPr>
        <w:pStyle w:val="BodyText"/>
      </w:pPr>
      <w:r>
        <w:t xml:space="preserve">To identify the relevant posts, we tagged every post whose title or body matches an anchored inflation lexicon.</w:t>
      </w:r>
      <w:r>
        <w:t xml:space="preserve"> </w:t>
      </w:r>
      <w:r>
        <w:t xml:space="preserve">The lexicon covers words for inflation and rising prices, such as</w:t>
      </w:r>
      <w:r>
        <w:t xml:space="preserve"> </w:t>
      </w:r>
      <w:r>
        <w:rPr>
          <w:i/>
          <w:iCs/>
        </w:rPr>
        <w:t xml:space="preserve">inflacija</w:t>
      </w:r>
      <w:r>
        <w:t xml:space="preserve">,</w:t>
      </w:r>
      <w:r>
        <w:t xml:space="preserve"> </w:t>
      </w:r>
      <w:r>
        <w:rPr>
          <w:i/>
          <w:iCs/>
        </w:rPr>
        <w:t xml:space="preserve">poskupljenje</w:t>
      </w:r>
      <w:r>
        <w:t xml:space="preserve"> </w:t>
      </w:r>
      <w:r>
        <w:t xml:space="preserve">(</w:t>
      </w:r>
      <w:r>
        <w:t xml:space="preserve">“becoming more</w:t>
      </w:r>
      <w:r>
        <w:t xml:space="preserve"> </w:t>
      </w:r>
      <w:r>
        <w:t xml:space="preserve">expensive”</w:t>
      </w:r>
      <w:r>
        <w:t xml:space="preserve">),</w:t>
      </w:r>
      <w:r>
        <w:t xml:space="preserve"> </w:t>
      </w:r>
      <w:r>
        <w:rPr>
          <w:i/>
          <w:iCs/>
        </w:rPr>
        <w:t xml:space="preserve">rast cijena</w:t>
      </w:r>
      <w:r>
        <w:t xml:space="preserve"> </w:t>
      </w:r>
      <w:r>
        <w:t xml:space="preserve">(</w:t>
      </w:r>
      <w:r>
        <w:t xml:space="preserve">“price rises”</w:t>
      </w:r>
      <w:r>
        <w:t xml:space="preserve">),</w:t>
      </w:r>
      <w:r>
        <w:t xml:space="preserve"> </w:t>
      </w:r>
      <w:r>
        <w:rPr>
          <w:i/>
          <w:iCs/>
        </w:rPr>
        <w:t xml:space="preserve">trošak života</w:t>
      </w:r>
      <w:r>
        <w:t xml:space="preserve"> </w:t>
      </w:r>
      <w:r>
        <w:t xml:space="preserve">(</w:t>
      </w:r>
      <w:r>
        <w:t xml:space="preserve">“cost of living”</w:t>
      </w:r>
      <w:r>
        <w:t xml:space="preserve">), and</w:t>
      </w:r>
      <w:r>
        <w:t xml:space="preserve"> </w:t>
      </w:r>
      <w:r>
        <w:rPr>
          <w:i/>
          <w:iCs/>
        </w:rPr>
        <w:t xml:space="preserve">kupovna moć</w:t>
      </w:r>
      <w:r>
        <w:t xml:space="preserve"> </w:t>
      </w:r>
      <w:r>
        <w:t xml:space="preserve">(</w:t>
      </w:r>
      <w:r>
        <w:t xml:space="preserve">“purchasing</w:t>
      </w:r>
      <w:r>
        <w:t xml:space="preserve"> </w:t>
      </w:r>
      <w:r>
        <w:t xml:space="preserve">power”</w:t>
      </w:r>
      <w:r>
        <w:t xml:space="preserve">), while deliberately excluding the bare word</w:t>
      </w:r>
      <w:r>
        <w:t xml:space="preserve"> </w:t>
      </w:r>
      <w:r>
        <w:rPr>
          <w:i/>
          <w:iCs/>
        </w:rPr>
        <w:t xml:space="preserve">cijena</w:t>
      </w:r>
      <w:r>
        <w:t xml:space="preserve"> </w:t>
      </w:r>
      <w:r>
        <w:t xml:space="preserve">(</w:t>
      </w:r>
      <w:r>
        <w:t xml:space="preserve">“price”</w:t>
      </w:r>
      <w:r>
        <w:t xml:space="preserve">) to avoid devotional false positives such</w:t>
      </w:r>
      <w:r>
        <w:t xml:space="preserve"> </w:t>
      </w:r>
      <w:r>
        <w:t xml:space="preserve">as</w:t>
      </w:r>
      <w:r>
        <w:t xml:space="preserve"> </w:t>
      </w:r>
      <w:r>
        <w:t xml:space="preserve">“the price of salvation”</w:t>
      </w:r>
      <w:r>
        <w:t xml:space="preserve">. A metaphor guard removes figurative uses such as</w:t>
      </w:r>
      <w:r>
        <w:t xml:space="preserve"> </w:t>
      </w:r>
      <w:r>
        <w:t xml:space="preserve">“inflation of words”</w:t>
      </w:r>
      <w:r>
        <w:t xml:space="preserve"> </w:t>
      </w:r>
      <w:r>
        <w:t xml:space="preserve">or</w:t>
      </w:r>
      <w:r>
        <w:t xml:space="preserve"> </w:t>
      </w:r>
      <w:r>
        <w:t xml:space="preserve">“inflation</w:t>
      </w:r>
      <w:r>
        <w:t xml:space="preserve"> </w:t>
      </w:r>
      <w:r>
        <w:t xml:space="preserve">of values”</w:t>
      </w:r>
      <w:r>
        <w:t xml:space="preserve">. This yields 8,019 clean inflation-mentioning posts, or 1.13% of the corpus.</w:t>
      </w:r>
    </w:p>
    <w:p>
      <w:pPr>
        <w:pStyle w:val="BodyText"/>
      </w:pPr>
      <w:r>
        <w:t xml:space="preserve">Mentioning inflation is not the same as being linked to it. A long news article can mention inflation in one</w:t>
      </w:r>
      <w:r>
        <w:t xml:space="preserve"> </w:t>
      </w:r>
      <w:r>
        <w:t xml:space="preserve">paragraph and a saint’s feast in another with no connection. We therefore measured, for each inflation post,</w:t>
      </w:r>
      <w:r>
        <w:t xml:space="preserve"> </w:t>
      </w:r>
      <w:r>
        <w:t xml:space="preserve">whether a religious term (project lexicon of 95 terms, tightened for economic homonyms such as</w:t>
      </w:r>
      <w:r>
        <w:t xml:space="preserve"> </w:t>
      </w:r>
      <w:r>
        <w:rPr>
          <w:i/>
          <w:iCs/>
        </w:rPr>
        <w:t xml:space="preserve">gospodarstvo</w:t>
      </w:r>
      <w:r>
        <w:t xml:space="preserve"> </w:t>
      </w:r>
      <w:r>
        <w:t xml:space="preserve">“economy”</w:t>
      </w:r>
      <w:r>
        <w:t xml:space="preserve"> </w:t>
      </w:r>
      <w:r>
        <w:t xml:space="preserve">vs</w:t>
      </w:r>
      <w:r>
        <w:t xml:space="preserve"> </w:t>
      </w:r>
      <w:r>
        <w:rPr>
          <w:i/>
          <w:iCs/>
        </w:rPr>
        <w:t xml:space="preserve">Gospa</w:t>
      </w:r>
      <w:r>
        <w:t xml:space="preserve"> </w:t>
      </w:r>
      <w:r>
        <w:t xml:space="preserve">“Our Lady”</w:t>
      </w:r>
      <w:r>
        <w:t xml:space="preserve">) appears within ±220 characters of an inflation mention. This proximity filter</w:t>
      </w:r>
      <w:r>
        <w:t xml:space="preserve"> </w:t>
      </w:r>
      <w:r>
        <w:t xml:space="preserve">is deliberately recall-oriented (validated recall ≈0.89): it generates 1,450 candidate linked posts while</w:t>
      </w:r>
      <w:r>
        <w:t xml:space="preserve"> </w:t>
      </w:r>
      <w:r>
        <w:t xml:space="preserve">accepting false positives, which the coding stage removes. We code the full linked set (1,450) rather than</w:t>
      </w:r>
      <w:r>
        <w:t xml:space="preserve"> </w:t>
      </w:r>
      <w:r>
        <w:t xml:space="preserve">the classifier’s narrower domestic-linked subset (1,103), because the automatic foreign/domestic flag is</w:t>
      </w:r>
      <w:r>
        <w:t xml:space="preserve"> </w:t>
      </w:r>
      <w:r>
        <w:t xml:space="preserve">unreliable (held-out precision of about 0.39). The annotators, not the flag, decide foreign versus domestic.</w:t>
      </w:r>
    </w:p>
    <w:p>
      <w:pPr>
        <w:pStyle w:val="BodyText"/>
      </w:pPr>
      <w:r>
        <w:t xml:space="preserve">The candidates were then coded. All 1,450 candidates were coded by three independent annotators, each a large</w:t>
      </w:r>
      <w:r>
        <w:t xml:space="preserve"> </w:t>
      </w:r>
      <w:r>
        <w:t xml:space="preserve">language model applying the same fixed codebook, and the final label for each post was the majority of the</w:t>
      </w:r>
      <w:r>
        <w:t xml:space="preserve"> </w:t>
      </w:r>
      <w:r>
        <w:t xml:space="preserve">three. Of the 1,450 posts, 1,447 were coded by all three annotators. Each post was judged on four axes.</w:t>
      </w:r>
    </w:p>
    <w:p>
      <w:pPr>
        <w:pStyle w:val="BodyText"/>
      </w:pPr>
      <w:r>
        <w:t xml:space="preserve">The first axis asked whether the post is genuinely about inflation or the cost of living, rather than using an</w:t>
      </w:r>
      <w:r>
        <w:t xml:space="preserve"> </w:t>
      </w:r>
      <w:r>
        <w:t xml:space="preserve">inflation word only in passing. The second, and most important, asked whether religion is genuinely connected</w:t>
      </w:r>
      <w:r>
        <w:t xml:space="preserve"> </w:t>
      </w:r>
      <w:r>
        <w:t xml:space="preserve">to that economic content. Here the annotators had to rule out the many ways religion and inflation can appear</w:t>
      </w:r>
      <w:r>
        <w:t xml:space="preserve"> </w:t>
      </w:r>
      <w:r>
        <w:t xml:space="preserve">together with no real link. A church might be named only as a geographic landmark, the word</w:t>
      </w:r>
      <w:r>
        <w:t xml:space="preserve"> </w:t>
      </w:r>
      <w:r>
        <w:t xml:space="preserve">“inflation”</w:t>
      </w:r>
      <w:r>
        <w:t xml:space="preserve"> </w:t>
      </w:r>
      <w:r>
        <w:t xml:space="preserve">might</w:t>
      </w:r>
      <w:r>
        <w:t xml:space="preserve"> </w:t>
      </w:r>
      <w:r>
        <w:t xml:space="preserve">be a metaphor such as an</w:t>
      </w:r>
      <w:r>
        <w:t xml:space="preserve"> </w:t>
      </w:r>
      <w:r>
        <w:t xml:space="preserve">“inflation of values”</w:t>
      </w:r>
      <w:r>
        <w:t xml:space="preserve">, a religious term might sit in a hashtag, or it might belong to</w:t>
      </w:r>
      <w:r>
        <w:t xml:space="preserve"> </w:t>
      </w:r>
      <w:r>
        <w:t xml:space="preserve">a secular organisation whose name merely contains a religious word, as with</w:t>
      </w:r>
      <w:r>
        <w:t xml:space="preserve"> </w:t>
      </w:r>
      <w:r>
        <w:rPr>
          <w:i/>
          <w:iCs/>
        </w:rPr>
        <w:t xml:space="preserve">Crveni križ</w:t>
      </w:r>
      <w:r>
        <w:t xml:space="preserve"> </w:t>
      </w:r>
      <w:r>
        <w:t xml:space="preserve">(the Red Cross) or a</w:t>
      </w:r>
      <w:r>
        <w:t xml:space="preserve"> </w:t>
      </w:r>
      <w:r>
        <w:rPr>
          <w:i/>
          <w:iCs/>
        </w:rPr>
        <w:t xml:space="preserve">Papa-test</w:t>
      </w:r>
      <w:r>
        <w:t xml:space="preserve"> </w:t>
      </w:r>
      <w:r>
        <w:t xml:space="preserve">(a Pap smear). A post counted as linked only when the religious element and the inflation element</w:t>
      </w:r>
      <w:r>
        <w:t xml:space="preserve"> </w:t>
      </w:r>
      <w:r>
        <w:t xml:space="preserve">belonged to the same story rather than to two unrelated parts of a long article. The third axis asked whether the inflation</w:t>
      </w:r>
      <w:r>
        <w:t xml:space="preserve"> </w:t>
      </w:r>
      <w:r>
        <w:t xml:space="preserve">in question was domestic or foreign, since Croatian media report price rises abroad frequently and those cases</w:t>
      </w:r>
      <w:r>
        <w:t xml:space="preserve"> </w:t>
      </w:r>
      <w:r>
        <w:t xml:space="preserve">had to be separated from the domestic one. The fourth axis, applied only to genuinely linked posts, recorded</w:t>
      </w:r>
      <w:r>
        <w:t xml:space="preserve"> </w:t>
      </w:r>
      <w:r>
        <w:t xml:space="preserve">the register in which religion met inflation: the cost of religious life (the price of religious goods or</w:t>
      </w:r>
      <w:r>
        <w:t xml:space="preserve"> </w:t>
      </w:r>
      <w:r>
        <w:t xml:space="preserve">services rising), the Church as an institution (clergy, the Pope, or a parish acting or commenting), structural</w:t>
      </w:r>
      <w:r>
        <w:t xml:space="preserve"> </w:t>
      </w:r>
      <w:r>
        <w:t xml:space="preserve">or CST justice, charity (Caritas and relief work), devotional framing, or other. The register was the hardest</w:t>
      </w:r>
      <w:r>
        <w:t xml:space="preserve"> </w:t>
      </w:r>
      <w:r>
        <w:t xml:space="preserve">judgement, because a post could touch more than one, so annotators assigned the register that best captured its</w:t>
      </w:r>
      <w:r>
        <w:t xml:space="preserve"> </w:t>
      </w:r>
      <w:r>
        <w:t xml:space="preserve">main emphasis.</w:t>
      </w:r>
    </w:p>
    <w:p>
      <w:pPr>
        <w:pStyle w:val="BodyText"/>
      </w:pPr>
      <w:r>
        <w:t xml:space="preserve">We validated the coding on a stratified held-out sample of 80 posts, disjoint from any tuning data.</w:t>
      </w:r>
      <w:r>
        <w:t xml:space="preserve"> </w:t>
      </w:r>
      <w:r>
        <w:t xml:space="preserve">Inter-annotator agreement was high (infl 0.975, link 0.967, foreign 0.992), confirming that the constructs are</w:t>
      </w:r>
      <w:r>
        <w:t xml:space="preserve"> </w:t>
      </w:r>
      <w:r>
        <w:t xml:space="preserve">reliably measurable. Register is the harder judgement, with a held-out agreement of only 0.46. The proximity</w:t>
      </w:r>
      <w:r>
        <w:t xml:space="preserve"> </w:t>
      </w:r>
      <w:r>
        <w:t xml:space="preserve">filter’s held-out precision for domestic linkage was modest (about 0.38 to 0.46) with a recall of about 0.89,</w:t>
      </w:r>
      <w:r>
        <w:t xml:space="preserve"> </w:t>
      </w:r>
      <w:r>
        <w:t xml:space="preserve">meaning it functions as a filter rather than a labeller. The full-pool coding confirmed this, with 45% of</w:t>
      </w:r>
      <w:r>
        <w:t xml:space="preserve"> </w:t>
      </w:r>
      <w:r>
        <w:t xml:space="preserve">candidates coded as genuinely linked. We therefore report coded figures throughout and never regex counts.</w:t>
      </w:r>
      <w:r>
        <w:t xml:space="preserve"> </w:t>
      </w:r>
      <w:r>
        <w:t xml:space="preserve">Annotators are LLM-based, so the agreement reflects inter-model reliability rather than a human gold standard,</w:t>
      </w:r>
      <w:r>
        <w:t xml:space="preserve"> </w:t>
      </w:r>
      <w:r>
        <w:t xml:space="preserve">and a human double-coding pass is planned (see Limitations).</w:t>
      </w:r>
    </w:p>
    <w:p>
      <w:pPr>
        <w:pStyle w:val="BodyText"/>
      </w:pPr>
      <w:r>
        <w:t xml:space="preserve">For the price comparison, the Croatian HICP annual rate of change (monthly, covering all items, food, and</w:t>
      </w:r>
      <w:r>
        <w:t xml:space="preserve"> </w:t>
      </w:r>
      <w:r>
        <w:t xml:space="preserve">energy) was obtained from Eurostat for 2021 to 2025.</w:t>
      </w:r>
    </w:p>
    <w:p>
      <w:pPr>
        <w:pStyle w:val="BodyText"/>
      </w:pPr>
      <w:r>
        <w:t xml:space="preserve">The analysis that follows reports three things: the path from the full corpus down to the measured core, the</w:t>
      </w:r>
      <w:r>
        <w:t xml:space="preserve"> </w:t>
      </w:r>
      <w:r>
        <w:t xml:space="preserve">register distribution together with its outlet, temporal, and tonal structure, and a test of the first</w:t>
      </w:r>
      <w:r>
        <w:t xml:space="preserve"> </w:t>
      </w:r>
      <w:r>
        <w:t xml:space="preserve">hypothesis relating monthly inflation-attention to HICP.</w:t>
      </w:r>
    </w:p>
    <w:bookmarkEnd w:id="23"/>
    <w:bookmarkStart w:id="49" w:name="results"/>
    <w:p>
      <w:pPr>
        <w:pStyle w:val="Heading2"/>
      </w:pPr>
      <w:r>
        <w:t xml:space="preserve">RESULTS</w:t>
      </w:r>
    </w:p>
    <w:bookmarkStart w:id="24" w:name="co-occurrence-is-not-engagement"/>
    <w:p>
      <w:pPr>
        <w:pStyle w:val="Heading3"/>
      </w:pPr>
      <w:r>
        <w:t xml:space="preserve">Co-occurrence is not engagement</w:t>
      </w:r>
    </w:p>
    <w:p>
      <w:pPr>
        <w:pStyle w:val="FirstParagraph"/>
      </w:pPr>
      <w:r>
        <w:t xml:space="preserve">The path from corpus to measured core is steep (Table 1). Of 710,307 posts, 8,019 (1.13%) mention inflation. Of</w:t>
      </w:r>
      <w:r>
        <w:t xml:space="preserve"> </w:t>
      </w:r>
      <w:r>
        <w:t xml:space="preserve">those, the recall-oriented filter flags 1,450 as candidate-linked, and coding confirms only 652 as genuine</w:t>
      </w:r>
      <w:r>
        <w:t xml:space="preserve"> </w:t>
      </w:r>
      <w:r>
        <w:t xml:space="preserve">religion–inflation linkage. Of these, 132 concern foreign inflation, leaving a domestic measured core of</w:t>
      </w:r>
      <w:r>
        <w:t xml:space="preserve"> </w:t>
      </w:r>
      <w:r>
        <w:t xml:space="preserve">520 posts, 0.07% of the corpus and 6.5% of inflation-mentioning posts. A naïve co-occurrence count would</w:t>
      </w:r>
      <w:r>
        <w:t xml:space="preserve"> </w:t>
      </w:r>
      <w:r>
        <w:t xml:space="preserve">have reported the phenomenon as an order of magnitude larger than it is. Even among the proximity-flagged</w:t>
      </w:r>
      <w:r>
        <w:t xml:space="preserve"> </w:t>
      </w:r>
      <w:r>
        <w:t xml:space="preserve">candidates, just 45% survive coding. The 520 is itself a floor rather than a point estimate. At the filter’s</w:t>
      </w:r>
      <w:r>
        <w:t xml:space="preserve"> </w:t>
      </w:r>
      <w:r>
        <w:t xml:space="preserve">validated recall of about 0.89, estimated on an 80-post held-out sample, roughly sixty genuine domestic posts</w:t>
      </w:r>
      <w:r>
        <w:t xml:space="preserve"> </w:t>
      </w:r>
      <w:r>
        <w:t xml:space="preserve">are missed before coding, giving a recall-corrected estimate of about 584. All shares below use the measured</w:t>
      </w:r>
      <w:r>
        <w:t xml:space="preserve"> </w:t>
      </w:r>
      <w:r>
        <w:t xml:space="preserve">520 as the denominator.</w:t>
      </w:r>
    </w:p>
    <w:p>
      <w:pPr>
        <w:pStyle w:val="BodyText"/>
      </w:pPr>
      <w:r>
        <w:t xml:space="preserve">Table 1</w:t>
      </w:r>
      <w:r>
        <w:t xml:space="preserve"> </w:t>
      </w:r>
      <w:r>
        <w:rPr>
          <w:i/>
          <w:iCs/>
        </w:rPr>
        <w:t xml:space="preserve">From corpus to measured core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Stage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% of corpus</w:t>
            </w:r>
          </w:p>
        </w:tc>
      </w:tr>
      <w:tr>
        <w:tc>
          <w:tcPr/>
          <w:p>
            <w:pPr>
              <w:pStyle w:val="Compact"/>
            </w:pPr>
            <w:r>
              <w:t xml:space="preserve">Full religion-filtered corpus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710,307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100.000</w:t>
            </w:r>
          </w:p>
        </w:tc>
      </w:tr>
      <w:tr>
        <w:tc>
          <w:tcPr/>
          <w:p>
            <w:pPr>
              <w:pStyle w:val="Compact"/>
            </w:pPr>
            <w:r>
              <w:t xml:space="preserve">Mentions inflation (clean)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8,019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1.129</w:t>
            </w:r>
          </w:p>
        </w:tc>
      </w:tr>
      <w:tr>
        <w:tc>
          <w:tcPr/>
          <w:p>
            <w:pPr>
              <w:pStyle w:val="Compact"/>
            </w:pPr>
            <w:r>
              <w:t xml:space="preserve">Linked candidates (filter, recall ≈0.89)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1,450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0.204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Confirmed religion-linked (coded)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652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0.092</w:t>
            </w:r>
          </w:p>
        </w:tc>
      </w:tr>
      <w:tr>
        <w:tc>
          <w:tcPr/>
          <w:p>
            <w:pPr>
              <w:pStyle w:val="Compact"/>
            </w:pPr>
            <w:r>
              <w:t xml:space="preserve">… foreign inflation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132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0.019</w:t>
            </w:r>
          </w:p>
        </w:tc>
      </w:tr>
      <w:tr>
        <w:tc>
          <w:tcPr/>
          <w:p>
            <w:pPr>
              <w:pStyle w:val="Compact"/>
            </w:pPr>
            <w:r>
              <w:t xml:space="preserve">… domestic (measured core)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520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0.073</w:t>
            </w:r>
          </w:p>
        </w:tc>
      </w:tr>
    </w:tbl>
    <w:p>
      <w:pPr>
        <w:pStyle w:val="BodyText"/>
      </w:pPr>
      <w:r>
        <w:t xml:space="preserve">Source: Authors’ calculation from the DigiKat corpus.</w:t>
      </w:r>
    </w:p>
    <w:bookmarkEnd w:id="24"/>
    <w:bookmarkStart w:id="25" w:name="who-carries-it"/>
    <w:p>
      <w:pPr>
        <w:pStyle w:val="Heading3"/>
      </w:pPr>
      <w:r>
        <w:t xml:space="preserve">Who carries it</w:t>
      </w:r>
    </w:p>
    <w:p>
      <w:pPr>
        <w:pStyle w:val="FirstParagraph"/>
      </w:pPr>
      <w:r>
        <w:t xml:space="preserve">Genuine religion-and-inflation discourse is overwhelmingly a secular-media phenomenon. Of the 520 posts, 442</w:t>
      </w:r>
      <w:r>
        <w:t xml:space="preserve"> </w:t>
      </w:r>
      <w:r>
        <w:t xml:space="preserve">(85%) come from secular or mainstream outlets, 75 (14%) from Catholic outlets, and only 3 from the business</w:t>
      </w:r>
      <w:r>
        <w:t xml:space="preserve"> </w:t>
      </w:r>
      <w:r>
        <w:t xml:space="preserve">press (Table 3). The single largest producer is the Catholic aggregator</w:t>
      </w:r>
      <w:r>
        <w:t xml:space="preserve"> </w:t>
      </w:r>
      <w:r>
        <w:rPr>
          <w:i/>
          <w:iCs/>
        </w:rPr>
        <w:t xml:space="preserve">hkm.hr</w:t>
      </w:r>
      <w:r>
        <w:t xml:space="preserve">, with 56 posts. It is followed</w:t>
      </w:r>
      <w:r>
        <w:t xml:space="preserve"> </w:t>
      </w:r>
      <w:r>
        <w:t xml:space="preserve">by mainstream titles such as</w:t>
      </w:r>
      <w:r>
        <w:t xml:space="preserve"> </w:t>
      </w:r>
      <w:r>
        <w:rPr>
          <w:i/>
          <w:iCs/>
        </w:rPr>
        <w:t xml:space="preserve">slobodnadalmacija.hr</w:t>
      </w:r>
      <w:r>
        <w:t xml:space="preserve"> </w:t>
      </w:r>
      <w:r>
        <w:t xml:space="preserve">(17 posts),</w:t>
      </w:r>
      <w:r>
        <w:t xml:space="preserve"> </w:t>
      </w:r>
      <w:r>
        <w:rPr>
          <w:i/>
          <w:iCs/>
        </w:rPr>
        <w:t xml:space="preserve">novilist.hr</w:t>
      </w:r>
      <w:r>
        <w:t xml:space="preserve"> </w:t>
      </w:r>
      <w:r>
        <w:t xml:space="preserve">(16),</w:t>
      </w:r>
      <w:r>
        <w:t xml:space="preserve"> </w:t>
      </w:r>
      <w:r>
        <w:rPr>
          <w:i/>
          <w:iCs/>
        </w:rPr>
        <w:t xml:space="preserve">24sata.hr</w:t>
      </w:r>
      <w:r>
        <w:t xml:space="preserve"> </w:t>
      </w:r>
      <w:r>
        <w:t xml:space="preserve">(12),</w:t>
      </w:r>
      <w:r>
        <w:t xml:space="preserve"> </w:t>
      </w:r>
      <w:r>
        <w:rPr>
          <w:i/>
          <w:iCs/>
        </w:rPr>
        <w:t xml:space="preserve">jutarnji.hr</w:t>
      </w:r>
      <w:r>
        <w:t xml:space="preserve"> </w:t>
      </w:r>
      <w:r>
        <w:t xml:space="preserve">(11), and</w:t>
      </w:r>
      <w:r>
        <w:t xml:space="preserve"> </w:t>
      </w:r>
      <w:r>
        <w:rPr>
          <w:i/>
          <w:iCs/>
        </w:rPr>
        <w:t xml:space="preserve">večernji.hr</w:t>
      </w:r>
      <w:r>
        <w:t xml:space="preserve"> </w:t>
      </w:r>
      <w:r>
        <w:t xml:space="preserve">(10). The Church’s own outlets are not where this discourse mainly lives.</w:t>
      </w:r>
    </w:p>
    <w:bookmarkEnd w:id="25"/>
    <w:bookmarkStart w:id="32" w:name="Xeb629d27fd5453aa1ba254589aadc21619008ba"/>
    <w:p>
      <w:pPr>
        <w:pStyle w:val="Heading3"/>
      </w:pPr>
      <w:r>
        <w:t xml:space="preserve">The register of religious-economic discourse</w:t>
      </w:r>
    </w:p>
    <w:p>
      <w:pPr>
        <w:pStyle w:val="FirstParagraph"/>
      </w:pPr>
      <w:r>
        <w:t xml:space="preserve">The central result is the register distribution (Table 2, Figure 1). Religion meets domestic inflation as, in</w:t>
      </w:r>
      <w:r>
        <w:t xml:space="preserve"> </w:t>
      </w:r>
      <w:r>
        <w:t xml:space="preserve">order: the cost of religious life (37.3%), the Church as an institution (34.4%), charity (16.7%), devotional</w:t>
      </w:r>
      <w:r>
        <w:t xml:space="preserve"> </w:t>
      </w:r>
      <w:r>
        <w:t xml:space="preserve">framing (5.0%), and the structural or CST-justice register at just 2.9%, or 15 posts.</w:t>
      </w:r>
    </w:p>
    <w:p>
      <w:pPr>
        <w:pStyle w:val="BodyText"/>
      </w:pPr>
      <w:r>
        <w:t xml:space="preserve">Two cautions attach to this table. First, the two leading registers are close in size, share the same</w:t>
      </w:r>
      <w:r>
        <w:t xml:space="preserve"> </w:t>
      </w:r>
      <w:r>
        <w:t xml:space="preserve">vocabulary (words like</w:t>
      </w:r>
      <w:r>
        <w:t xml:space="preserve"> </w:t>
      </w:r>
      <w:r>
        <w:rPr>
          <w:i/>
          <w:iCs/>
        </w:rPr>
        <w:t xml:space="preserve">crkva</w:t>
      </w:r>
      <w:r>
        <w:t xml:space="preserve"> </w:t>
      </w:r>
      <w:r>
        <w:t xml:space="preserve">and</w:t>
      </w:r>
      <w:r>
        <w:t xml:space="preserve"> </w:t>
      </w:r>
      <w:r>
        <w:rPr>
          <w:i/>
          <w:iCs/>
        </w:rPr>
        <w:t xml:space="preserve">biskup</w:t>
      </w:r>
      <w:r>
        <w:t xml:space="preserve">), and register was the axis annotators agreed on least (agreement</w:t>
      </w:r>
      <w:r>
        <w:t xml:space="preserve"> </w:t>
      </w:r>
      <w:r>
        <w:t xml:space="preserve">of 0.46), so their exact ordering falls within coding noise. The safe statement is that together they form an</w:t>
      </w:r>
      <w:r>
        <w:t xml:space="preserve"> </w:t>
      </w:r>
      <w:r>
        <w:t xml:space="preserve">economic-object macro-register of about 72%, or 373 posts. Second, the 3% justice figure is a strict floor. If</w:t>
      </w:r>
      <w:r>
        <w:t xml:space="preserve"> </w:t>
      </w:r>
      <w:r>
        <w:t xml:space="preserve">we also count posts placed in other registers whose text still carries a structural argument, chiefly charity</w:t>
      </w:r>
      <w:r>
        <w:t xml:space="preserve"> </w:t>
      </w:r>
      <w:r>
        <w:t xml:space="preserve">posts such as Caritas discussing structural poverty, the figure rises to at most 8%, or 43 posts. Justice is</w:t>
      </w:r>
      <w:r>
        <w:t xml:space="preserve"> </w:t>
      </w:r>
      <w:r>
        <w:t xml:space="preserve">marginal on either definition.</w:t>
      </w:r>
    </w:p>
    <w:p>
      <w:pPr>
        <w:pStyle w:val="BodyText"/>
      </w:pPr>
      <w:r>
        <w:t xml:space="preserve">Table 2</w:t>
      </w:r>
      <w:r>
        <w:t xml:space="preserve"> </w:t>
      </w:r>
      <w:r>
        <w:rPr>
          <w:i/>
          <w:iCs/>
        </w:rPr>
        <w:t xml:space="preserve">Register of the domestic core (n = 520)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Register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%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Cost of religious life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194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37.3</w:t>
            </w:r>
          </w:p>
        </w:tc>
      </w:tr>
      <w:tr>
        <w:tc>
          <w:tcPr/>
          <w:p>
            <w:pPr>
              <w:pStyle w:val="Compact"/>
            </w:pPr>
            <w:r>
              <w:t xml:space="preserve">Church-as-institution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179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34.4</w:t>
            </w:r>
          </w:p>
        </w:tc>
      </w:tr>
      <w:tr>
        <w:tc>
          <w:tcPr/>
          <w:p>
            <w:pPr>
              <w:pStyle w:val="Compact"/>
            </w:pPr>
            <w:r>
              <w:t xml:space="preserve">Charity / relief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87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16.7</w:t>
            </w:r>
          </w:p>
        </w:tc>
      </w:tr>
      <w:tr>
        <w:tc>
          <w:tcPr/>
          <w:p>
            <w:pPr>
              <w:pStyle w:val="Compact"/>
            </w:pPr>
            <w:r>
              <w:t xml:space="preserve">Devotional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26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5.0</w:t>
            </w:r>
          </w:p>
        </w:tc>
      </w:tr>
      <w:tr>
        <w:tc>
          <w:tcPr/>
          <w:p>
            <w:pPr>
              <w:pStyle w:val="Compact"/>
            </w:pPr>
            <w:r>
              <w:t xml:space="preserve">Structural / CST justice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15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2.9</w:t>
            </w:r>
          </w:p>
        </w:tc>
      </w:tr>
      <w:tr>
        <w:tc>
          <w:tcPr/>
          <w:p>
            <w:pPr>
              <w:pStyle w:val="Compact"/>
            </w:pPr>
            <w:r>
              <w:t xml:space="preserve">Disputed (pending human tiebreak)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12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2.3</w:t>
            </w:r>
          </w:p>
        </w:tc>
      </w:tr>
      <w:tr>
        <w:tc>
          <w:tcPr/>
          <w:p>
            <w:pPr>
              <w:pStyle w:val="Compact"/>
            </w:pPr>
            <w:r>
              <w:t xml:space="preserve">Other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1.3</w:t>
            </w:r>
          </w:p>
        </w:tc>
      </w:tr>
    </w:tbl>
    <w:p>
      <w:pPr>
        <w:pStyle w:val="BodyText"/>
      </w:pPr>
      <w:r>
        <w:t xml:space="preserve">Source: Authors’ calculation from the DigiKat corpus.</w:t>
      </w:r>
    </w:p>
    <w:p>
      <w:pPr>
        <w:pStyle w:val="BodyText"/>
      </w:pPr>
      <w:r>
        <w:t xml:space="preserve">Figure 1</w:t>
      </w:r>
      <w:r>
        <w:t xml:space="preserve"> </w:t>
      </w:r>
      <w:r>
        <w:rPr>
          <w:i/>
          <w:iCs/>
        </w:rPr>
        <w:t xml:space="preserve">Register composition of the measured core</w:t>
      </w:r>
    </w:p>
    <w:p>
      <w:pPr>
        <w:pStyle w:val="CaptionedFigure"/>
      </w:pPr>
      <w:r>
        <w:drawing>
          <wp:inline>
            <wp:extent cx="4533900" cy="2567389"/>
            <wp:effectExtent b="0" l="0" r="0" t="0"/>
            <wp:docPr descr="Figure 1" title="" id="27" name="Picture"/>
            <a:graphic>
              <a:graphicData uri="http://schemas.openxmlformats.org/drawingml/2006/picture">
                <pic:pic>
                  <pic:nvPicPr>
                    <pic:cNvPr descr="../output/figures/fig_register_composition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3900" cy="2567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Figure 1</w:t>
      </w:r>
    </w:p>
    <w:p>
      <w:pPr>
        <w:pStyle w:val="BodyText"/>
      </w:pPr>
      <w:r>
        <w:t xml:space="preserve">Source: Authors’ calculation from the DigiKat corpus.</w:t>
      </w:r>
    </w:p>
    <w:p>
      <w:pPr>
        <w:pStyle w:val="BodyText"/>
      </w:pPr>
      <w:r>
        <w:t xml:space="preserve">The two dominant registers describe the Church as an economic object, not a moral voice: masses, church fees,</w:t>
      </w:r>
      <w:r>
        <w:t xml:space="preserve"> </w:t>
      </w:r>
      <w:r>
        <w:t xml:space="preserve">weddings, funerals and pilgrimages that became more expensive (</w:t>
      </w:r>
      <w:r>
        <w:t xml:space="preserve">“cost of religious life”</w:t>
      </w:r>
      <w:r>
        <w:t xml:space="preserve">), and clergy or dioceses</w:t>
      </w:r>
      <w:r>
        <w:t xml:space="preserve"> </w:t>
      </w:r>
      <w:r>
        <w:t xml:space="preserve">appearing in economic news as commentators or affected parties (</w:t>
      </w:r>
      <w:r>
        <w:t xml:space="preserve">“institution”</w:t>
      </w:r>
      <w:r>
        <w:t xml:space="preserve">). The second register also</w:t>
      </w:r>
      <w:r>
        <w:t xml:space="preserve"> </w:t>
      </w:r>
      <w:r>
        <w:t xml:space="preserve">carries a definitional caveat. It includes clergy appearing as commentators, speaking subjects, some of whom</w:t>
      </w:r>
      <w:r>
        <w:t xml:space="preserve"> </w:t>
      </w:r>
      <w:r>
        <w:t xml:space="preserve">voice moral or economic judgements, alongside the Church as an affected party. The</w:t>
      </w:r>
      <w:r>
        <w:t xml:space="preserve"> </w:t>
      </w:r>
      <w:r>
        <w:t xml:space="preserve">“economic-object”</w:t>
      </w:r>
      <w:r>
        <w:t xml:space="preserve"> </w:t>
      </w:r>
      <w:r>
        <w:t xml:space="preserve">reading of</w:t>
      </w:r>
      <w:r>
        <w:t xml:space="preserve"> </w:t>
      </w:r>
      <w:r>
        <w:t xml:space="preserve">the ≈72% macro-register is therefore an upper bound, and splitting the institution register into subject and</w:t>
      </w:r>
      <w:r>
        <w:t xml:space="preserve"> </w:t>
      </w:r>
      <w:r>
        <w:t xml:space="preserve">object is deferred to the planned human coding round (see Limitations).</w:t>
      </w:r>
    </w:p>
    <w:p>
      <w:pPr>
        <w:pStyle w:val="BodyText"/>
      </w:pPr>
      <w:r>
        <w:t xml:space="preserve">The register clearly depends on who carries it, which is our second hypothesis (Table 3, Figure 2). Comparing</w:t>
      </w:r>
      <w:r>
        <w:t xml:space="preserve"> </w:t>
      </w:r>
      <w:r>
        <w:t xml:space="preserve">secular and Catholic outlets across the registers, the two distributions differ sharply. A chi-square test of</w:t>
      </w:r>
      <w:r>
        <w:t xml:space="preserve"> </w:t>
      </w:r>
      <w:r>
        <w:t xml:space="preserve">independence rejects the null of no association (χ²(5) = 50.4, p &lt; 0.001, confirmed by a Monte Carlo test given</w:t>
      </w:r>
      <w:r>
        <w:t xml:space="preserve"> </w:t>
      </w:r>
      <w:r>
        <w:t xml:space="preserve">the sparse cells, with Cramér’s V = 0.31, a moderate effect). The association is driven by two registers. The cost</w:t>
      </w:r>
      <w:r>
        <w:t xml:space="preserve"> </w:t>
      </w:r>
      <w:r>
        <w:t xml:space="preserve">of religious life is almost entirely a secular story, since 189 of its 194 posts are secular outlets reporting</w:t>
      </w:r>
      <w:r>
        <w:t xml:space="preserve"> </w:t>
      </w:r>
      <w:r>
        <w:t xml:space="preserve">that the Church raised its prices, whereas charity is relatively more Catholic. H2 is therefore supported: the</w:t>
      </w:r>
      <w:r>
        <w:t xml:space="preserve"> </w:t>
      </w:r>
      <w:r>
        <w:t xml:space="preserve">register in which religion meets inflation is not the same across the media space but depends on the outlet.</w:t>
      </w:r>
    </w:p>
    <w:p>
      <w:pPr>
        <w:pStyle w:val="BodyText"/>
      </w:pPr>
      <w:r>
        <w:t xml:space="preserve">The finer claim, that Catholic outlets specifically tilt toward charity (27 of 75, or 36%, of the Catholic core</w:t>
      </w:r>
      <w:r>
        <w:t xml:space="preserve"> </w:t>
      </w:r>
      <w:r>
        <w:t xml:space="preserve">versus 58 of 442, or 13%, of the secular core), we do not press. The Catholic subsample is small (n = 75), 75%</w:t>
      </w:r>
      <w:r>
        <w:t xml:space="preserve"> </w:t>
      </w:r>
      <w:r>
        <w:t xml:space="preserve">of it is the single aggregator</w:t>
      </w:r>
      <w:r>
        <w:t xml:space="preserve"> </w:t>
      </w:r>
      <w:r>
        <w:rPr>
          <w:i/>
          <w:iCs/>
        </w:rPr>
        <w:t xml:space="preserve">hkm.hr</w:t>
      </w:r>
      <w:r>
        <w:t xml:space="preserve"> </w:t>
      </w:r>
      <w:r>
        <w:t xml:space="preserve">(56 posts) whose own top register is institution (27), not charity (18),</w:t>
      </w:r>
      <w:r>
        <w:t xml:space="preserve"> </w:t>
      </w:r>
      <w:r>
        <w:t xml:space="preserve">and stripping</w:t>
      </w:r>
      <w:r>
        <w:t xml:space="preserve"> </w:t>
      </w:r>
      <w:r>
        <w:rPr>
          <w:i/>
          <w:iCs/>
        </w:rPr>
        <w:t xml:space="preserve">hkm.hr</w:t>
      </w:r>
      <w:r>
        <w:t xml:space="preserve"> </w:t>
      </w:r>
      <w:r>
        <w:t xml:space="preserve">leaves just 19 posts. We report that direction as a hypothesis for a larger</w:t>
      </w:r>
      <w:r>
        <w:t xml:space="preserve"> </w:t>
      </w:r>
      <w:r>
        <w:t xml:space="preserve">Catholic-outlet sample, not a finding. What is robust across outlets is the near-absence of the justice</w:t>
      </w:r>
      <w:r>
        <w:t xml:space="preserve"> </w:t>
      </w:r>
      <w:r>
        <w:t xml:space="preserve">register (10 secular, 5 Catholic).</w:t>
      </w:r>
    </w:p>
    <w:p>
      <w:pPr>
        <w:pStyle w:val="BodyText"/>
      </w:pPr>
      <w:r>
        <w:t xml:space="preserve">Table 3</w:t>
      </w:r>
      <w:r>
        <w:t xml:space="preserve"> </w:t>
      </w:r>
      <w:r>
        <w:rPr>
          <w:i/>
          <w:iCs/>
        </w:rPr>
        <w:t xml:space="preserve">Register by outlet type (counts)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Register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Secular/other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Catholic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Business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Cost of religious life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189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</w:tr>
      <w:tr>
        <w:tc>
          <w:tcPr/>
          <w:p>
            <w:pPr>
              <w:pStyle w:val="Compact"/>
            </w:pPr>
            <w:r>
              <w:t xml:space="preserve">Church-as-institution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147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32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Charity / relief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58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27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</w:tr>
      <w:tr>
        <w:tc>
          <w:tcPr/>
          <w:p>
            <w:pPr>
              <w:pStyle w:val="Compact"/>
            </w:pPr>
            <w:r>
              <w:t xml:space="preserve">Devotional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22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Structural / CST justice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Other / disputed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16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</w:t>
            </w:r>
          </w:p>
        </w:tc>
      </w:tr>
    </w:tbl>
    <w:p>
      <w:pPr>
        <w:pStyle w:val="BodyText"/>
      </w:pPr>
      <w:r>
        <w:t xml:space="preserve">Source: Authors’ calculation from the DigiKat corpus.</w:t>
      </w:r>
    </w:p>
    <w:p>
      <w:pPr>
        <w:pStyle w:val="BodyText"/>
      </w:pPr>
      <w:r>
        <w:t xml:space="preserve">Figure 2</w:t>
      </w:r>
      <w:r>
        <w:t xml:space="preserve"> </w:t>
      </w:r>
      <w:r>
        <w:rPr>
          <w:i/>
          <w:iCs/>
        </w:rPr>
        <w:t xml:space="preserve">Register composition by outlet type (shares)</w:t>
      </w:r>
    </w:p>
    <w:p>
      <w:pPr>
        <w:pStyle w:val="CaptionedFigure"/>
      </w:pPr>
      <w:r>
        <w:drawing>
          <wp:inline>
            <wp:extent cx="4533900" cy="2449348"/>
            <wp:effectExtent b="0" l="0" r="0" t="0"/>
            <wp:docPr descr="Figure 2" title="" id="30" name="Picture"/>
            <a:graphic>
              <a:graphicData uri="http://schemas.openxmlformats.org/drawingml/2006/picture">
                <pic:pic>
                  <pic:nvPicPr>
                    <pic:cNvPr descr="../output/figures/fig_register_by_outlet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3900" cy="244934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Figure 2</w:t>
      </w:r>
    </w:p>
    <w:p>
      <w:pPr>
        <w:pStyle w:val="BodyText"/>
      </w:pPr>
      <w:r>
        <w:t xml:space="preserve">Source: Authors’ calculation from the DigiKat corpus.</w:t>
      </w:r>
    </w:p>
    <w:bookmarkEnd w:id="32"/>
    <w:bookmarkStart w:id="39" w:name="temporal-dynamics"/>
    <w:p>
      <w:pPr>
        <w:pStyle w:val="Heading3"/>
      </w:pPr>
      <w:r>
        <w:t xml:space="preserve">Temporal dynamics</w:t>
      </w:r>
    </w:p>
    <w:p>
      <w:pPr>
        <w:pStyle w:val="FirstParagraph"/>
      </w:pPr>
      <w:r>
        <w:t xml:space="preserve">The measured core tracks the shock itself over the six years (Figure 3, Table 4). It rises sharply to a peak of</w:t>
      </w:r>
      <w:r>
        <w:t xml:space="preserve"> </w:t>
      </w:r>
      <w:r>
        <w:t xml:space="preserve">201 posts in 2022, at the height of the energy shock, and then declines as prices stabilise, to 100 posts in</w:t>
      </w:r>
      <w:r>
        <w:t xml:space="preserve"> </w:t>
      </w:r>
      <w:r>
        <w:t xml:space="preserve">2023, 88 in 2024, 66 in 2025, and 53 in the first half of 2026. Attention builds as prices climb and recedes as</w:t>
      </w:r>
      <w:r>
        <w:t xml:space="preserve"> </w:t>
      </w:r>
      <w:r>
        <w:t xml:space="preserve">they ease. Because collection intensity varied over the period, the exact year-to-year figures are indicative,</w:t>
      </w:r>
      <w:r>
        <w:t xml:space="preserve"> </w:t>
      </w:r>
      <w:r>
        <w:t xml:space="preserve">but the rise and fall are clear.</w:t>
      </w:r>
    </w:p>
    <w:p>
      <w:pPr>
        <w:pStyle w:val="BodyText"/>
      </w:pPr>
      <w:r>
        <w:t xml:space="preserve">Figure 3</w:t>
      </w:r>
      <w:r>
        <w:t xml:space="preserve"> </w:t>
      </w:r>
      <w:r>
        <w:rPr>
          <w:i/>
          <w:iCs/>
        </w:rPr>
        <w:t xml:space="preserve">Measured core volume by year</w:t>
      </w:r>
    </w:p>
    <w:p>
      <w:pPr>
        <w:pStyle w:val="CaptionedFigure"/>
      </w:pPr>
      <w:r>
        <w:drawing>
          <wp:inline>
            <wp:extent cx="4533900" cy="2052186"/>
            <wp:effectExtent b="0" l="0" r="0" t="0"/>
            <wp:docPr descr="Figure 3" title="" id="34" name="Picture"/>
            <a:graphic>
              <a:graphicData uri="http://schemas.openxmlformats.org/drawingml/2006/picture">
                <pic:pic>
                  <pic:nvPicPr>
                    <pic:cNvPr descr="../output/figures/coded_core_by_stream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3900" cy="205218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Figure 3</w:t>
      </w:r>
    </w:p>
    <w:p>
      <w:pPr>
        <w:pStyle w:val="BodyText"/>
      </w:pPr>
      <w:r>
        <w:t xml:space="preserve">Note: 2026 covers only the first half of the year.</w:t>
      </w:r>
      <w:r>
        <w:t xml:space="preserve"> </w:t>
      </w:r>
      <w:r>
        <w:t xml:space="preserve">Source: Authors’ calculation from the DigiKat corpus.</w:t>
      </w:r>
    </w:p>
    <w:p>
      <w:pPr>
        <w:pStyle w:val="BodyText"/>
      </w:pPr>
      <w:r>
        <w:t xml:space="preserve">The register composition also shifts over the period (Figure 4, Table 4). The institution register dominates</w:t>
      </w:r>
      <w:r>
        <w:t xml:space="preserve"> </w:t>
      </w:r>
      <w:r>
        <w:t xml:space="preserve">the 2022 shock, with 105 posts of clergy commenting on the crisis, and then recedes, to 38 posts in 2023 and 9</w:t>
      </w:r>
      <w:r>
        <w:t xml:space="preserve"> </w:t>
      </w:r>
      <w:r>
        <w:t xml:space="preserve">in 2024. The cost-of-religious-life register moves the other way, climbing to 61 posts in 2024 as churches</w:t>
      </w:r>
      <w:r>
        <w:t xml:space="preserve"> </w:t>
      </w:r>
      <w:r>
        <w:t xml:space="preserve">revise their fees around the euro changeover of 1 January 2023. The discourse thus appears to migrate from</w:t>
      </w:r>
      <w:r>
        <w:t xml:space="preserve"> </w:t>
      </w:r>
      <w:r>
        <w:t xml:space="preserve">acute-crisis commentary toward institutional price adjustment. The changeover was itself a cross-sectoral media</w:t>
      </w:r>
      <w:r>
        <w:t xml:space="preserve"> </w:t>
      </w:r>
      <w:r>
        <w:t xml:space="preserve">event that prompted price-transparency and rounding-up coverage across the whole economy, so part of the</w:t>
      </w:r>
      <w:r>
        <w:t xml:space="preserve"> </w:t>
      </w:r>
      <w:r>
        <w:t xml:space="preserve">cost-of-religious-life rise around it plausibly reflects changeover journalism rather than inflation alone. We</w:t>
      </w:r>
      <w:r>
        <w:t xml:space="preserve"> </w:t>
      </w:r>
      <w:r>
        <w:t xml:space="preserve">treat this shift as suggestive rather than established. At no point over the six years does the justice register</w:t>
      </w:r>
      <w:r>
        <w:t xml:space="preserve"> </w:t>
      </w:r>
      <w:r>
        <w:t xml:space="preserve">gain traction.</w:t>
      </w:r>
    </w:p>
    <w:p>
      <w:pPr>
        <w:pStyle w:val="BodyText"/>
      </w:pPr>
      <w:r>
        <w:t xml:space="preserve">Table 4</w:t>
      </w:r>
      <w:r>
        <w:t xml:space="preserve"> </w:t>
      </w:r>
      <w:r>
        <w:rPr>
          <w:i/>
          <w:iCs/>
        </w:rPr>
        <w:t xml:space="preserve">Register by year (counts, full core)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880"/>
        <w:gridCol w:w="1173"/>
        <w:gridCol w:w="1173"/>
        <w:gridCol w:w="1173"/>
        <w:gridCol w:w="1173"/>
        <w:gridCol w:w="1173"/>
        <w:gridCol w:w="1173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Year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Institution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Cost-relig-life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Charity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Devotional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Justice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Other/disputed</w:t>
            </w:r>
          </w:p>
        </w:tc>
      </w:tr>
      <w:tr>
        <w:tc>
          <w:tcPr/>
          <w:p>
            <w:pPr>
              <w:pStyle w:val="Compact"/>
            </w:pPr>
            <w:r>
              <w:t xml:space="preserve">2021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</w:tr>
      <w:tr>
        <w:tc>
          <w:tcPr/>
          <w:p>
            <w:pPr>
              <w:pStyle w:val="Compact"/>
            </w:pPr>
            <w:r>
              <w:t xml:space="preserve">2022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105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41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34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13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</w:tr>
      <w:tr>
        <w:tc>
          <w:tcPr/>
          <w:p>
            <w:pPr>
              <w:pStyle w:val="Compact"/>
            </w:pPr>
            <w:r>
              <w:t xml:space="preserve">2023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38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39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11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</w:tr>
      <w:tr>
        <w:tc>
          <w:tcPr/>
          <w:p>
            <w:pPr>
              <w:pStyle w:val="Compact"/>
            </w:pPr>
            <w:r>
              <w:t xml:space="preserve">2024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61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12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</w:tr>
      <w:tr>
        <w:tc>
          <w:tcPr/>
          <w:p>
            <w:pPr>
              <w:pStyle w:val="Compact"/>
            </w:pPr>
            <w:r>
              <w:t xml:space="preserve">2025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16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13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26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</w:tr>
      <w:tr>
        <w:tc>
          <w:tcPr/>
          <w:p>
            <w:pPr>
              <w:pStyle w:val="Compact"/>
            </w:pPr>
            <w:r>
              <w:t xml:space="preserve">2026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</w:tr>
    </w:tbl>
    <w:p>
      <w:pPr>
        <w:pStyle w:val="BodyText"/>
      </w:pPr>
      <w:r>
        <w:t xml:space="preserve">Note: 2026 covers only the first half of the year.</w:t>
      </w:r>
      <w:r>
        <w:t xml:space="preserve"> </w:t>
      </w:r>
      <w:r>
        <w:t xml:space="preserve">Source: Authors’ calculation from the DigiKat corpus.</w:t>
      </w:r>
    </w:p>
    <w:p>
      <w:pPr>
        <w:pStyle w:val="BodyText"/>
      </w:pPr>
      <w:r>
        <w:t xml:space="preserve">Figure 4</w:t>
      </w:r>
      <w:r>
        <w:t xml:space="preserve"> </w:t>
      </w:r>
      <w:r>
        <w:rPr>
          <w:i/>
          <w:iCs/>
        </w:rPr>
        <w:t xml:space="preserve">Register over time, by year (measured core)</w:t>
      </w:r>
    </w:p>
    <w:p>
      <w:pPr>
        <w:pStyle w:val="CaptionedFigure"/>
      </w:pPr>
      <w:r>
        <w:drawing>
          <wp:inline>
            <wp:extent cx="4533900" cy="2290812"/>
            <wp:effectExtent b="0" l="0" r="0" t="0"/>
            <wp:docPr descr="Figure 4" title="" id="37" name="Picture"/>
            <a:graphic>
              <a:graphicData uri="http://schemas.openxmlformats.org/drawingml/2006/picture">
                <pic:pic>
                  <pic:nvPicPr>
                    <pic:cNvPr descr="../output/figures/coded_register_over_time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3900" cy="229081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Figure 4</w:t>
      </w:r>
    </w:p>
    <w:p>
      <w:pPr>
        <w:pStyle w:val="BodyText"/>
      </w:pPr>
      <w:r>
        <w:t xml:space="preserve">Source: Authors’ calculation from the DigiKat corpus.</w:t>
      </w:r>
    </w:p>
    <w:bookmarkEnd w:id="39"/>
    <w:bookmarkStart w:id="43" w:name="tone"/>
    <w:p>
      <w:pPr>
        <w:pStyle w:val="Heading3"/>
      </w:pPr>
      <w:r>
        <w:t xml:space="preserve">Tone</w:t>
      </w:r>
    </w:p>
    <w:p>
      <w:pPr>
        <w:pStyle w:val="FirstParagraph"/>
      </w:pPr>
      <w:r>
        <w:t xml:space="preserve">Tone is our third hypothesis, and it too depends on the register (Table 5, Figure 5). The tone labels here come</w:t>
      </w:r>
      <w:r>
        <w:t xml:space="preserve"> </w:t>
      </w:r>
      <w:r>
        <w:t xml:space="preserve">from the monitoring vendor’s automatic sentiment tool and are indicative rather than validated, so we read this</w:t>
      </w:r>
      <w:r>
        <w:t xml:space="preserve"> </w:t>
      </w:r>
      <w:r>
        <w:t xml:space="preserve">test as exploratory. Across the five substantive registers, a chi-square test rejects the null that tone and</w:t>
      </w:r>
      <w:r>
        <w:t xml:space="preserve"> </w:t>
      </w:r>
      <w:r>
        <w:t xml:space="preserve">register are independent (χ²(8) = 48.8, p &lt; 0.001, Cramér’s V = 0.22, a small-to-moderate effect). The pattern</w:t>
      </w:r>
      <w:r>
        <w:t xml:space="preserve"> </w:t>
      </w:r>
      <w:r>
        <w:t xml:space="preserve">is intuitive. Across these five registers (n = 501) the split is 43% negative, 32% positive, and 25% neutral,</w:t>
      </w:r>
      <w:r>
        <w:t xml:space="preserve"> </w:t>
      </w:r>
      <w:r>
        <w:t xml:space="preserve">but the cost of religious life is markedly negative (100 of 194, or 51%), consistent with public complaint</w:t>
      </w:r>
      <w:r>
        <w:t xml:space="preserve"> </w:t>
      </w:r>
      <w:r>
        <w:t xml:space="preserve">about church price rises, whereas</w:t>
      </w:r>
      <w:r>
        <w:t xml:space="preserve"> </w:t>
      </w:r>
      <w:r>
        <w:t xml:space="preserve">the Church as an institution is the most positive register (83 of 179, or 46%), consistent with pastoral or</w:t>
      </w:r>
      <w:r>
        <w:t xml:space="preserve"> </w:t>
      </w:r>
      <w:r>
        <w:t xml:space="preserve">commentary framing. The rare justice posts lean negative (9 of 15). H3 is therefore supported, subject to the</w:t>
      </w:r>
      <w:r>
        <w:t xml:space="preserve"> </w:t>
      </w:r>
      <w:r>
        <w:t xml:space="preserve">caveat that a human-validated sentiment measure is needed before the result is treated as more than</w:t>
      </w:r>
      <w:r>
        <w:t xml:space="preserve"> </w:t>
      </w:r>
      <w:r>
        <w:t xml:space="preserve">suggestive.</w:t>
      </w:r>
    </w:p>
    <w:p>
      <w:pPr>
        <w:pStyle w:val="BodyText"/>
      </w:pPr>
      <w:r>
        <w:t xml:space="preserve">Table 5</w:t>
      </w:r>
      <w:r>
        <w:t xml:space="preserve"> </w:t>
      </w:r>
      <w:r>
        <w:rPr>
          <w:i/>
          <w:iCs/>
        </w:rPr>
        <w:t xml:space="preserve">Auto-sentiment by register (counts, vendor labels, indicative)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Register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Negative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Neutral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Positive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Cost of religious life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100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56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38</w:t>
            </w:r>
          </w:p>
        </w:tc>
      </w:tr>
      <w:tr>
        <w:tc>
          <w:tcPr/>
          <w:p>
            <w:pPr>
              <w:pStyle w:val="Compact"/>
            </w:pPr>
            <w:r>
              <w:t xml:space="preserve">Church-as-institution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51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45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83</w:t>
            </w:r>
          </w:p>
        </w:tc>
      </w:tr>
      <w:tr>
        <w:tc>
          <w:tcPr/>
          <w:p>
            <w:pPr>
              <w:pStyle w:val="Compact"/>
            </w:pPr>
            <w:r>
              <w:t xml:space="preserve">Charity / relief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38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12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37</w:t>
            </w:r>
          </w:p>
        </w:tc>
      </w:tr>
      <w:tr>
        <w:tc>
          <w:tcPr/>
          <w:p>
            <w:pPr>
              <w:pStyle w:val="Compact"/>
            </w:pPr>
            <w:r>
              <w:t xml:space="preserve">Devotional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15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</w:tr>
      <w:tr>
        <w:tc>
          <w:tcPr/>
          <w:p>
            <w:pPr>
              <w:pStyle w:val="Compact"/>
            </w:pPr>
            <w:r>
              <w:t xml:space="preserve">Structural / CST justice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</w:tr>
    </w:tbl>
    <w:p>
      <w:pPr>
        <w:pStyle w:val="BodyText"/>
      </w:pPr>
      <w:r>
        <w:t xml:space="preserve">Source: Authors’ calculation from the DigiKat corpus (vendor auto-sentiment labels, indicative only).</w:t>
      </w:r>
    </w:p>
    <w:p>
      <w:pPr>
        <w:pStyle w:val="BodyText"/>
      </w:pPr>
      <w:r>
        <w:t xml:space="preserve">Figure 5</w:t>
      </w:r>
      <w:r>
        <w:t xml:space="preserve"> </w:t>
      </w:r>
      <w:r>
        <w:rPr>
          <w:i/>
          <w:iCs/>
        </w:rPr>
        <w:t xml:space="preserve">Auto-sentiment by register (shares)</w:t>
      </w:r>
    </w:p>
    <w:p>
      <w:pPr>
        <w:pStyle w:val="CaptionedFigure"/>
      </w:pPr>
      <w:r>
        <w:drawing>
          <wp:inline>
            <wp:extent cx="4533900" cy="2449348"/>
            <wp:effectExtent b="0" l="0" r="0" t="0"/>
            <wp:docPr descr="Figure 5" title="" id="41" name="Picture"/>
            <a:graphic>
              <a:graphicData uri="http://schemas.openxmlformats.org/drawingml/2006/picture">
                <pic:pic>
                  <pic:nvPicPr>
                    <pic:cNvPr descr="../output/figures/fig_sentiment_by_register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3900" cy="244934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Figure 5</w:t>
      </w:r>
    </w:p>
    <w:p>
      <w:pPr>
        <w:pStyle w:val="BodyText"/>
      </w:pPr>
      <w:r>
        <w:t xml:space="preserve">Source: Authors’ calculation from the DigiKat corpus.</w:t>
      </w:r>
    </w:p>
    <w:bookmarkEnd w:id="43"/>
    <w:bookmarkStart w:id="47" w:name="inflation-attention-and-real-prices"/>
    <w:p>
      <w:pPr>
        <w:pStyle w:val="Heading3"/>
      </w:pPr>
      <w:r>
        <w:t xml:space="preserve">Inflation attention and real prices</w:t>
      </w:r>
    </w:p>
    <w:p>
      <w:pPr>
        <w:pStyle w:val="FirstParagraph"/>
      </w:pPr>
      <w:r>
        <w:t xml:space="preserve">To test the first hypothesis we relate monthly inflation-attention, the share of corpus posts that mention</w:t>
      </w:r>
      <w:r>
        <w:t xml:space="preserve"> </w:t>
      </w:r>
      <w:r>
        <w:t xml:space="preserve">inflation, to the Croatian HICP annual rate of change for headline, food, and energy prices. The monthly test</w:t>
      </w:r>
      <w:r>
        <w:t xml:space="preserve"> </w:t>
      </w:r>
      <w:r>
        <w:t xml:space="preserve">covers the 39 months from 2021 to mid-2024, the window for which we built the monthly attention series. The</w:t>
      </w:r>
      <w:r>
        <w:t xml:space="preserve"> </w:t>
      </w:r>
      <w:r>
        <w:t xml:space="preserve">series runs continuously through January 2024 and then has two sparse months, June and July 2024, so it is not</w:t>
      </w:r>
      <w:r>
        <w:t xml:space="preserve"> </w:t>
      </w:r>
      <w:r>
        <w:t xml:space="preserve">fully contiguous at the end. Over this window attention tracks inflation strongly (Table 6, Figure 6). The</w:t>
      </w:r>
      <w:r>
        <w:t xml:space="preserve"> </w:t>
      </w:r>
      <w:r>
        <w:t xml:space="preserve">correlation with headline HICP is Pearson r = 0.73 (nominal p &lt; 0.001, with the cautions noted below), 0.72</w:t>
      </w:r>
      <w:r>
        <w:t xml:space="preserve"> </w:t>
      </w:r>
      <w:r>
        <w:t xml:space="preserve">with food, and 0.44 with energy, and the Spearman ranks are comparable. The threshold pattern also holds. Mean</w:t>
      </w:r>
      <w:r>
        <w:t xml:space="preserve"> </w:t>
      </w:r>
      <w:r>
        <w:t xml:space="preserve">attention is 0.49% of posts in the 12 months when headline HICP is below 4%, and 1.17% in the 27 months at or</w:t>
      </w:r>
      <w:r>
        <w:t xml:space="preserve"> </w:t>
      </w:r>
      <w:r>
        <w:t xml:space="preserve">above it, a 2.4-fold jump around the 4% threshold documented in other countries. A two-sample test confirms the</w:t>
      </w:r>
      <w:r>
        <w:t xml:space="preserve"> </w:t>
      </w:r>
      <w:r>
        <w:t xml:space="preserve">gap (Welch t = 5.7, p &lt; 0.001, Cohen’s d = 1.7, with a rank test giving the same result), though the caution</w:t>
      </w:r>
      <w:r>
        <w:t xml:space="preserve"> </w:t>
      </w:r>
      <w:r>
        <w:t xml:space="preserve">below about autocorrelation applies here too.</w:t>
      </w:r>
    </w:p>
    <w:p>
      <w:pPr>
        <w:pStyle w:val="BodyText"/>
      </w:pPr>
      <w:r>
        <w:t xml:space="preserve">Three cautions temper the inference. First, the HICP annual rate of change compares each month with the same</w:t>
      </w:r>
      <w:r>
        <w:t xml:space="preserve"> </w:t>
      </w:r>
      <w:r>
        <w:t xml:space="preserve">month a year earlier, so consecutive monthly values overlap by eleven months and move together closely. The</w:t>
      </w:r>
      <w:r>
        <w:t xml:space="preserve"> </w:t>
      </w:r>
      <w:r>
        <w:t xml:space="preserve">attention series is also persistent. The number of genuinely independent observations is therefore well below</w:t>
      </w:r>
      <w:r>
        <w:t xml:space="preserve"> </w:t>
      </w:r>
      <w:r>
        <w:t xml:space="preserve">the nominal 39, and the p-value overstates the precision. We plan an autocorrelation-robust re-estimate and a</w:t>
      </w:r>
      <w:r>
        <w:t xml:space="preserve"> </w:t>
      </w:r>
      <w:r>
        <w:t xml:space="preserve">month-on-month version before submission, and until then the correlation should be read as descriptive. Second,</w:t>
      </w:r>
      <w:r>
        <w:t xml:space="preserve"> </w:t>
      </w:r>
      <w:r>
        <w:t xml:space="preserve">the 4% cutpoint is taken from the cross-national literature, not estimated from these data. With only 39 months</w:t>
      </w:r>
      <w:r>
        <w:t xml:space="preserve"> </w:t>
      </w:r>
      <w:r>
        <w:t xml:space="preserve">the data cannot locate a breakpoint of their own, and the two-sample test above assumes a cutpoint rather than</w:t>
      </w:r>
      <w:r>
        <w:t xml:space="preserve"> </w:t>
      </w:r>
      <w:r>
        <w:t xml:space="preserve">finding one. Because the 12 below-threshold months sit mostly at the start of 2021, that contrast cannot fully</w:t>
      </w:r>
      <w:r>
        <w:t xml:space="preserve"> </w:t>
      </w:r>
      <w:r>
        <w:t xml:space="preserve">separate a genuine jump from the smooth rise already described. Third, the January 2023 euro changeover flooded every sector with price coverage,</w:t>
      </w:r>
      <w:r>
        <w:t xml:space="preserve"> </w:t>
      </w:r>
      <w:r>
        <w:t xml:space="preserve">so part of the 2023 attention is plausibly changeover journalism rather than a reaction to the inflation rate</w:t>
      </w:r>
      <w:r>
        <w:t xml:space="preserve"> </w:t>
      </w:r>
      <w:r>
        <w:t xml:space="preserve">itself.</w:t>
      </w:r>
    </w:p>
    <w:p>
      <w:pPr>
        <w:pStyle w:val="BodyText"/>
      </w:pPr>
      <w:r>
        <w:t xml:space="preserve">On this evidence the hypothesis is partially supported. The coupling and the threshold pattern hold, and food</w:t>
      </w:r>
      <w:r>
        <w:t xml:space="preserve"> </w:t>
      </w:r>
      <w:r>
        <w:t xml:space="preserve">inflation tracks attention as strongly as the headline rate does, but energy couples only weakly (r = 0.44).</w:t>
      </w:r>
      <w:r>
        <w:t xml:space="preserve"> </w:t>
      </w:r>
      <w:r>
        <w:t xml:space="preserve">Energy prices swung widely and often turned negative in 2023 and 2024, which loosened their link to attention,</w:t>
      </w:r>
      <w:r>
        <w:t xml:space="preserve"> </w:t>
      </w:r>
      <w:r>
        <w:t xml:space="preserve">so the</w:t>
      </w:r>
      <w:r>
        <w:t xml:space="preserve"> </w:t>
      </w:r>
      <w:r>
        <w:t xml:space="preserve">“food-and-energy”</w:t>
      </w:r>
      <w:r>
        <w:t xml:space="preserve"> </w:t>
      </w:r>
      <w:r>
        <w:t xml:space="preserve">part of the prediction holds for food but not for energy. This component reading is</w:t>
      </w:r>
      <w:r>
        <w:t xml:space="preserve"> </w:t>
      </w:r>
      <w:r>
        <w:t xml:space="preserve">indirect, because we relate overall attention to each price component rather than to component-specific</w:t>
      </w:r>
      <w:r>
        <w:t xml:space="preserve"> </w:t>
      </w:r>
      <w:r>
        <w:t xml:space="preserve">attention, so the weak energy result is suggestive rather than decisive. The coupling is not an artifact of the</w:t>
      </w:r>
      <w:r>
        <w:t xml:space="preserve"> </w:t>
      </w:r>
      <w:r>
        <w:t xml:space="preserve">ragged tail of the window. It is r = 0.77 on the fully continuous 2021 to 2023 block (n = 36) and r = 0.72 once</w:t>
      </w:r>
      <w:r>
        <w:t xml:space="preserve"> </w:t>
      </w:r>
      <w:r>
        <w:t xml:space="preserve">the sparsest tail month is dropped. The religion-linked core is too small for a monthly test of its own, but</w:t>
      </w:r>
      <w:r>
        <w:t xml:space="preserve"> </w:t>
      </w:r>
      <w:r>
        <w:t xml:space="preserve">its yearly volume aligns with inflation, since both peak in 2022.</w:t>
      </w:r>
    </w:p>
    <w:p>
      <w:pPr>
        <w:pStyle w:val="BodyText"/>
      </w:pPr>
      <w:r>
        <w:t xml:space="preserve">Table 6</w:t>
      </w:r>
      <w:r>
        <w:t xml:space="preserve"> </w:t>
      </w:r>
      <w:r>
        <w:rPr>
          <w:i/>
          <w:iCs/>
        </w:rPr>
        <w:t xml:space="preserve">Inflation-attention versus HICP (monthly, 2021 to mid-2024, 39 months, not fully contiguous)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HICP component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Pearson r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Spearman ρ</w:t>
            </w:r>
          </w:p>
        </w:tc>
      </w:tr>
      <w:tr>
        <w:tc>
          <w:tcPr/>
          <w:p>
            <w:pPr>
              <w:pStyle w:val="Compact"/>
            </w:pPr>
            <w:r>
              <w:t xml:space="preserve">Headline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0.73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0.75</w:t>
            </w:r>
          </w:p>
        </w:tc>
      </w:tr>
      <w:tr>
        <w:tc>
          <w:tcPr/>
          <w:p>
            <w:pPr>
              <w:pStyle w:val="Compact"/>
            </w:pPr>
            <w:r>
              <w:t xml:space="preserve">Food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0.72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0.74</w:t>
            </w:r>
          </w:p>
        </w:tc>
      </w:tr>
      <w:tr>
        <w:tc>
          <w:tcPr/>
          <w:p>
            <w:pPr>
              <w:pStyle w:val="Compact"/>
            </w:pPr>
            <w:r>
              <w:t xml:space="preserve">Energy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0.44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0.43</w:t>
            </w:r>
          </w:p>
        </w:tc>
      </w:tr>
    </w:tbl>
    <w:p>
      <w:pPr>
        <w:pStyle w:val="BodyText"/>
      </w:pPr>
      <w:r>
        <w:t xml:space="preserve">Source: Authors’ calculation from the DigiKat corpus and Eurostat.</w:t>
      </w:r>
    </w:p>
    <w:p>
      <w:pPr>
        <w:pStyle w:val="BodyText"/>
      </w:pPr>
      <w:r>
        <w:t xml:space="preserve">Figure 6</w:t>
      </w:r>
      <w:r>
        <w:t xml:space="preserve"> </w:t>
      </w:r>
      <w:r>
        <w:rPr>
          <w:i/>
          <w:iCs/>
        </w:rPr>
        <w:t xml:space="preserve">Inflation-attention versus HICP, 2021 to mid-2024</w:t>
      </w:r>
    </w:p>
    <w:p>
      <w:pPr>
        <w:pStyle w:val="CaptionedFigure"/>
      </w:pPr>
      <w:r>
        <w:drawing>
          <wp:inline>
            <wp:extent cx="4533900" cy="2386263"/>
            <wp:effectExtent b="0" l="0" r="0" t="0"/>
            <wp:docPr descr="Figure 6" title="" id="45" name="Picture"/>
            <a:graphic>
              <a:graphicData uri="http://schemas.openxmlformats.org/drawingml/2006/picture">
                <pic:pic>
                  <pic:nvPicPr>
                    <pic:cNvPr descr="../output/figures/h1_attention_vs_hicp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3900" cy="238626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Figure 6</w:t>
      </w:r>
    </w:p>
    <w:p>
      <w:pPr>
        <w:pStyle w:val="BodyText"/>
      </w:pPr>
      <w:r>
        <w:t xml:space="preserve">Note: Bars show the share of corpus posts mentioning inflation (left axis). Lines show the Croatian HICP annual rate of change (right axis).</w:t>
      </w:r>
      <w:r>
        <w:t xml:space="preserve"> </w:t>
      </w:r>
      <w:r>
        <w:t xml:space="preserve">Source: Authors’ calculation from the DigiKat corpus and Eurostat.</w:t>
      </w:r>
    </w:p>
    <w:bookmarkEnd w:id="47"/>
    <w:bookmarkStart w:id="48" w:name="formal-tests-of-the-three-hypotheses"/>
    <w:p>
      <w:pPr>
        <w:pStyle w:val="Heading3"/>
      </w:pPr>
      <w:r>
        <w:t xml:space="preserve">Formal tests of the three hypotheses</w:t>
      </w:r>
    </w:p>
    <w:p>
      <w:pPr>
        <w:pStyle w:val="FirstParagraph"/>
      </w:pPr>
      <w:r>
        <w:t xml:space="preserve">Table 7 gathers the three formal tests in one place. All three reach significance, and two rest on the</w:t>
      </w:r>
      <w:r>
        <w:t xml:space="preserve"> </w:t>
      </w:r>
      <w:r>
        <w:t xml:space="preserve">validated coded data (register and outlet), while the tone test rests on the vendor sentiment labels and is</w:t>
      </w:r>
      <w:r>
        <w:t xml:space="preserve"> </w:t>
      </w:r>
      <w:r>
        <w:t xml:space="preserve">read as exploratory. The effect size is moderate for the outlet test (Cramér’s V = 0.31),</w:t>
      </w:r>
      <w:r>
        <w:t xml:space="preserve"> </w:t>
      </w:r>
      <w:r>
        <w:t xml:space="preserve">small-to-moderate for the tone test (V = 0.22), and large for the attention threshold. The tests move the study one step beyond description: the register in which religion meets inflation</w:t>
      </w:r>
      <w:r>
        <w:t xml:space="preserve"> </w:t>
      </w:r>
      <w:r>
        <w:t xml:space="preserve">is not the same across outlets (H2), and its tone is not the same across registers (H3), while attention itself</w:t>
      </w:r>
      <w:r>
        <w:t xml:space="preserve"> </w:t>
      </w:r>
      <w:r>
        <w:t xml:space="preserve">rises with prices (H1).</w:t>
      </w:r>
    </w:p>
    <w:p>
      <w:pPr>
        <w:pStyle w:val="BodyText"/>
      </w:pPr>
      <w:r>
        <w:t xml:space="preserve">Table 7</w:t>
      </w:r>
      <w:r>
        <w:t xml:space="preserve"> </w:t>
      </w:r>
      <w:r>
        <w:rPr>
          <w:i/>
          <w:iCs/>
        </w:rPr>
        <w:t xml:space="preserve">Formal tests of the three hypotheses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485"/>
        <w:gridCol w:w="1485"/>
        <w:gridCol w:w="1485"/>
        <w:gridCol w:w="1980"/>
        <w:gridCol w:w="1485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Hypothesis</w:t>
            </w:r>
          </w:p>
        </w:tc>
        <w:tc>
          <w:tcPr/>
          <w:p>
            <w:pPr>
              <w:pStyle w:val="Compact"/>
            </w:pPr>
            <w:r>
              <w:t xml:space="preserve">Test</w:t>
            </w:r>
          </w:p>
        </w:tc>
        <w:tc>
          <w:tcPr/>
          <w:p>
            <w:pPr>
              <w:pStyle w:val="Compact"/>
            </w:pPr>
            <w:r>
              <w:t xml:space="preserve">Statistic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p</w:t>
            </w:r>
          </w:p>
        </w:tc>
        <w:tc>
          <w:tcPr/>
          <w:p>
            <w:pPr>
              <w:pStyle w:val="Compact"/>
            </w:pPr>
            <w:r>
              <w:t xml:space="preserve">Effect size</w:t>
            </w:r>
          </w:p>
        </w:tc>
      </w:tr>
      <w:tr>
        <w:tc>
          <w:tcPr/>
          <w:p>
            <w:pPr>
              <w:pStyle w:val="Compact"/>
            </w:pPr>
            <w:r>
              <w:t xml:space="preserve">H1: attention rises with prices</w:t>
            </w:r>
          </w:p>
        </w:tc>
        <w:tc>
          <w:tcPr/>
          <w:p>
            <w:pPr>
              <w:pStyle w:val="Compact"/>
            </w:pPr>
            <w:r>
              <w:t xml:space="preserve">Pearson correlation, monthly (n = 39)</w:t>
            </w:r>
          </w:p>
        </w:tc>
        <w:tc>
          <w:tcPr/>
          <w:p>
            <w:pPr>
              <w:pStyle w:val="Compact"/>
            </w:pPr>
            <w:r>
              <w:t xml:space="preserve">r = 0.73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&lt; 0.001 (nominal)</w:t>
            </w:r>
          </w:p>
        </w:tc>
        <w:tc>
          <w:tcPr/>
          <w:p>
            <w:pPr>
              <w:pStyle w:val="Compact"/>
            </w:pPr>
            <w:r>
              <w:t xml:space="preserve">large</w:t>
            </w:r>
          </w:p>
        </w:tc>
      </w:tr>
      <w:tr>
        <w:tc>
          <w:tcPr/>
          <w:p>
            <w:pPr>
              <w:pStyle w:val="Compact"/>
            </w:pPr>
            <w:r>
              <w:t xml:space="preserve">H1: 2.4-fold jump above 4%</w:t>
            </w:r>
          </w:p>
        </w:tc>
        <w:tc>
          <w:tcPr/>
          <w:p>
            <w:pPr>
              <w:pStyle w:val="Compact"/>
            </w:pPr>
            <w:r>
              <w:t xml:space="preserve">Welch two-sample t-test</w:t>
            </w:r>
          </w:p>
        </w:tc>
        <w:tc>
          <w:tcPr/>
          <w:p>
            <w:pPr>
              <w:pStyle w:val="Compact"/>
            </w:pPr>
            <w:r>
              <w:t xml:space="preserve">t = 5.7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&lt; 0.001</w:t>
            </w:r>
          </w:p>
        </w:tc>
        <w:tc>
          <w:tcPr/>
          <w:p>
            <w:pPr>
              <w:pStyle w:val="Compact"/>
            </w:pPr>
            <w:r>
              <w:t xml:space="preserve">Cohen’s d = 1.7</w:t>
            </w:r>
          </w:p>
        </w:tc>
      </w:tr>
      <w:tr>
        <w:tc>
          <w:tcPr/>
          <w:p>
            <w:pPr>
              <w:pStyle w:val="Compact"/>
            </w:pPr>
            <w:r>
              <w:t xml:space="preserve">H2: register depends on outlet</w:t>
            </w:r>
          </w:p>
        </w:tc>
        <w:tc>
          <w:tcPr/>
          <w:p>
            <w:pPr>
              <w:pStyle w:val="Compact"/>
            </w:pPr>
            <w:r>
              <w:t xml:space="preserve">Chi-square of independence (2 × 6)</w:t>
            </w:r>
          </w:p>
        </w:tc>
        <w:tc>
          <w:tcPr/>
          <w:p>
            <w:pPr>
              <w:pStyle w:val="Compact"/>
            </w:pPr>
            <w:r>
              <w:t xml:space="preserve">χ² = 50.4, df = 5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&lt; 0.001</w:t>
            </w:r>
          </w:p>
        </w:tc>
        <w:tc>
          <w:tcPr/>
          <w:p>
            <w:pPr>
              <w:pStyle w:val="Compact"/>
            </w:pPr>
            <w:r>
              <w:t xml:space="preserve">Cramér’s V = 0.31</w:t>
            </w:r>
          </w:p>
        </w:tc>
      </w:tr>
      <w:tr>
        <w:tc>
          <w:tcPr/>
          <w:p>
            <w:pPr>
              <w:pStyle w:val="Compact"/>
            </w:pPr>
            <w:r>
              <w:t xml:space="preserve">H3: tone depends on register</w:t>
            </w:r>
          </w:p>
        </w:tc>
        <w:tc>
          <w:tcPr/>
          <w:p>
            <w:pPr>
              <w:pStyle w:val="Compact"/>
            </w:pPr>
            <w:r>
              <w:t xml:space="preserve">Chi-square of independence (5 × 3)</w:t>
            </w:r>
          </w:p>
        </w:tc>
        <w:tc>
          <w:tcPr/>
          <w:p>
            <w:pPr>
              <w:pStyle w:val="Compact"/>
            </w:pPr>
            <w:r>
              <w:t xml:space="preserve">χ² = 48.8, df = 8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&lt; 0.001</w:t>
            </w:r>
          </w:p>
        </w:tc>
        <w:tc>
          <w:tcPr/>
          <w:p>
            <w:pPr>
              <w:pStyle w:val="Compact"/>
            </w:pPr>
            <w:r>
              <w:t xml:space="preserve">Cramér’s V = 0.22</w:t>
            </w:r>
          </w:p>
        </w:tc>
      </w:tr>
    </w:tbl>
    <w:p>
      <w:pPr>
        <w:pStyle w:val="BodyText"/>
      </w:pPr>
      <w:r>
        <w:t xml:space="preserve">Note: H1 covers 2021 to mid-2024, and its months are autocorrelated, so its p-values are read as descriptive (see the cautions above). The H2 p-value is confirmed by a Monte Carlo test because several cells are sparse. The H3 test uses the vendor sentiment labels and is exploratory.</w:t>
      </w:r>
      <w:r>
        <w:t xml:space="preserve"> </w:t>
      </w:r>
      <w:r>
        <w:t xml:space="preserve">Source: Authors’ calculation from the DigiKat corpus and Eurostat.</w:t>
      </w:r>
    </w:p>
    <w:bookmarkEnd w:id="48"/>
    <w:bookmarkEnd w:id="49"/>
    <w:bookmarkStart w:id="50" w:name="discussion"/>
    <w:p>
      <w:pPr>
        <w:pStyle w:val="Heading2"/>
      </w:pPr>
      <w:r>
        <w:t xml:space="preserve">DISCUSSION</w:t>
      </w:r>
    </w:p>
    <w:p>
      <w:pPr>
        <w:pStyle w:val="FirstParagraph"/>
      </w:pPr>
      <w:r>
        <w:t xml:space="preserve">The dominant way religion meets inflation in Croatian digital discourse is not the pulpit but the price list,</w:t>
      </w:r>
      <w:r>
        <w:t xml:space="preserve"> </w:t>
      </w:r>
      <w:r>
        <w:t xml:space="preserve">and the Church appears throughout as an economic object rather than a moral voice. Seven in ten linked posts</w:t>
      </w:r>
      <w:r>
        <w:t xml:space="preserve"> </w:t>
      </w:r>
      <w:r>
        <w:t xml:space="preserve">describe either the rising cost of religious life or the Church as an institution caught up in economic news.</w:t>
      </w:r>
      <w:r>
        <w:t xml:space="preserve"> </w:t>
      </w:r>
      <w:r>
        <w:t xml:space="preserve">Together these make up the 72% economic-object macro-register, which is itself an upper bound, since the</w:t>
      </w:r>
      <w:r>
        <w:t xml:space="preserve"> </w:t>
      </w:r>
      <w:r>
        <w:t xml:space="preserve">institution register also holds clergy who speak as commentators (see Results). Charity adds a sixth of the</w:t>
      </w:r>
      <w:r>
        <w:t xml:space="preserve"> </w:t>
      </w:r>
      <w:r>
        <w:t xml:space="preserve">posts, and the structural-justice critique that CST foregrounds is marginal, at 3% under strict coding and at</w:t>
      </w:r>
      <w:r>
        <w:t xml:space="preserve"> </w:t>
      </w:r>
      <w:r>
        <w:t xml:space="preserve">most 8% broadly construed. We read this as a claim about what is visible in the digital public sphere, not</w:t>
      </w:r>
      <w:r>
        <w:t xml:space="preserve"> </w:t>
      </w:r>
      <w:r>
        <w:t xml:space="preserve">about the Church’s pastoral conduct. Homilies, pastoral letters, and Caritas fieldwork are largely absent from</w:t>
      </w:r>
      <w:r>
        <w:t xml:space="preserve"> </w:t>
      </w:r>
      <w:r>
        <w:t xml:space="preserve">a corpus of news posts, so the low visibility of the justice frame is weak evidence about institutional silence</w:t>
      </w:r>
      <w:r>
        <w:t xml:space="preserve"> </w:t>
      </w:r>
      <w:r>
        <w:t xml:space="preserve">itself (see Limitations). What</w:t>
      </w:r>
      <w:r>
        <w:t xml:space="preserve"> </w:t>
      </w:r>
      <w:r>
        <w:t xml:space="preserve">the data support is that, in the national digital public sphere, the frame that surfaces around inflation is</w:t>
      </w:r>
      <w:r>
        <w:t xml:space="preserve"> </w:t>
      </w:r>
      <w:r>
        <w:t xml:space="preserve">overwhelmingly the fee and the institution, not the prophecy.</w:t>
      </w:r>
    </w:p>
    <w:p>
      <w:pPr>
        <w:pStyle w:val="BodyText"/>
      </w:pPr>
      <w:r>
        <w:t xml:space="preserve">Newsroom gatekeeping offers a rival explanation. The register distribution is produced by editorial selection</w:t>
      </w:r>
      <w:r>
        <w:t xml:space="preserve"> </w:t>
      </w:r>
      <w:r>
        <w:t xml:space="preserve">at least as much as by what religious actors say. Standard news values, such as conflict, concrete numbers, and</w:t>
      </w:r>
      <w:r>
        <w:t xml:space="preserve"> </w:t>
      </w:r>
      <w:r>
        <w:t xml:space="preserve">institutional controversy, favour the church-fee story over the pastoral letter: a diocese raising the price of</w:t>
      </w:r>
      <w:r>
        <w:t xml:space="preserve"> </w:t>
      </w:r>
      <w:r>
        <w:t xml:space="preserve">a funeral is news, while a homily on structural poverty rarely is. Since 85% of the measured core is secular</w:t>
      </w:r>
      <w:r>
        <w:t xml:space="preserve"> </w:t>
      </w:r>
      <w:r>
        <w:t xml:space="preserve">outlets’ output, the distribution we observe is largely what newsrooms judged newsworthy about religion during</w:t>
      </w:r>
      <w:r>
        <w:t xml:space="preserve"> </w:t>
      </w:r>
      <w:r>
        <w:t xml:space="preserve">the shock. The</w:t>
      </w:r>
      <w:r>
        <w:t xml:space="preserve"> </w:t>
      </w:r>
      <w:r>
        <w:t xml:space="preserve">“quiet prophets”</w:t>
      </w:r>
      <w:r>
        <w:t xml:space="preserve"> </w:t>
      </w:r>
      <w:r>
        <w:t xml:space="preserve">pattern may therefore be partly editorial deafness rather than clerical</w:t>
      </w:r>
      <w:r>
        <w:t xml:space="preserve"> </w:t>
      </w:r>
      <w:r>
        <w:t xml:space="preserve">silence. On the present data, the two readings, a Church that does not speak structurally, and media that do</w:t>
      </w:r>
      <w:r>
        <w:t xml:space="preserve"> </w:t>
      </w:r>
      <w:r>
        <w:t xml:space="preserve">not relay it when it does, cannot be separated. The planned secular benchmark and a supply-side corpus of</w:t>
      </w:r>
      <w:r>
        <w:t xml:space="preserve"> </w:t>
      </w:r>
      <w:r>
        <w:t xml:space="preserve">Church-authored texts (see Limitations) are designed to separate them.</w:t>
      </w:r>
    </w:p>
    <w:p>
      <w:pPr>
        <w:pStyle w:val="BodyText"/>
      </w:pPr>
      <w:r>
        <w:t xml:space="preserve">Attention existed, but a prophetic voice did not fill it. The two results interlock. The attention test shows</w:t>
      </w:r>
      <w:r>
        <w:t xml:space="preserve"> </w:t>
      </w:r>
      <w:r>
        <w:t xml:space="preserve">that media attention to inflation is real and moves with prices (see Results). Yet within that attention, once</w:t>
      </w:r>
      <w:r>
        <w:t xml:space="preserve"> </w:t>
      </w:r>
      <w:r>
        <w:t xml:space="preserve">linkage is measured, the religious engagement is small and, where present, non-prophetic. The public</w:t>
      </w:r>
      <w:r>
        <w:t xml:space="preserve"> </w:t>
      </w:r>
      <w:r>
        <w:t xml:space="preserve">conversation about inflation was there for a religious justice voice to enter, but little of one is visible in</w:t>
      </w:r>
      <w:r>
        <w:t xml:space="preserve"> </w:t>
      </w:r>
      <w:r>
        <w:t xml:space="preserve">the measured discourse.</w:t>
      </w:r>
    </w:p>
    <w:p>
      <w:pPr>
        <w:pStyle w:val="BodyText"/>
      </w:pPr>
      <w:r>
        <w:t xml:space="preserve">A possible division of narrative labour emerges, though it remains a hypothesis. The register-outlet pattern</w:t>
      </w:r>
      <w:r>
        <w:t xml:space="preserve"> </w:t>
      </w:r>
      <w:r>
        <w:t xml:space="preserve">hints at two storytellers. Secular media supply the</w:t>
      </w:r>
      <w:r>
        <w:t xml:space="preserve"> </w:t>
      </w:r>
      <w:r>
        <w:t xml:space="preserve">“costlier candles”</w:t>
      </w:r>
      <w:r>
        <w:t xml:space="preserve"> </w:t>
      </w:r>
      <w:r>
        <w:t xml:space="preserve">story, reporting, often critically and</w:t>
      </w:r>
      <w:r>
        <w:t xml:space="preserve"> </w:t>
      </w:r>
      <w:r>
        <w:t xml:space="preserve">in a negative tone, that the Church raised the price of masses, weddings and funerals around the euro</w:t>
      </w:r>
      <w:r>
        <w:t xml:space="preserve"> </w:t>
      </w:r>
      <w:r>
        <w:t xml:space="preserve">changeover. Catholic outlets, in their thin non-aggregator tail, lean instead toward</w:t>
      </w:r>
      <w:r>
        <w:t xml:space="preserve"> </w:t>
      </w:r>
      <w:r>
        <w:t xml:space="preserve">“quiet charity.”</w:t>
      </w:r>
      <w:r>
        <w:t xml:space="preserve"> </w:t>
      </w:r>
      <w:r>
        <w:t xml:space="preserve">As noted</w:t>
      </w:r>
      <w:r>
        <w:t xml:space="preserve"> </w:t>
      </w:r>
      <w:r>
        <w:t xml:space="preserve">above, the Catholic subsample is too small and too aggregator-dominated to establish this contrast, so we</w:t>
      </w:r>
      <w:r>
        <w:t xml:space="preserve"> </w:t>
      </w:r>
      <w:r>
        <w:t xml:space="preserve">advance it only as a hypothesis. What both kinds of outlet share is the near-absence of the prophetic,</w:t>
      </w:r>
      <w:r>
        <w:t xml:space="preserve"> </w:t>
      </w:r>
      <w:r>
        <w:t xml:space="preserve">structural voice.</w:t>
      </w:r>
    </w:p>
    <w:p>
      <w:pPr>
        <w:pStyle w:val="BodyText"/>
      </w:pPr>
      <w:r>
        <w:t xml:space="preserve">Mechanism and timing also matter here. The pattern fits an agenda-setting reading. The religious linkage flares</w:t>
      </w:r>
      <w:r>
        <w:t xml:space="preserve"> </w:t>
      </w:r>
      <w:r>
        <w:t xml:space="preserve">during the acute 2022 shock, mostly as institutional commentary, and recedes as prices stabilise, while</w:t>
      </w:r>
      <w:r>
        <w:t xml:space="preserve"> </w:t>
      </w:r>
      <w:r>
        <w:t xml:space="preserve">church-fee coverage rises around euro adoption. On this evidence the dynamic looks closer to resonance than to</w:t>
      </w:r>
      <w:r>
        <w:t xml:space="preserve"> </w:t>
      </w:r>
      <w:r>
        <w:t xml:space="preserve">setting, in line with proposition P1, though only provisionally. Religion enters inflation discourse</w:t>
      </w:r>
      <w:r>
        <w:t xml:space="preserve"> </w:t>
      </w:r>
      <w:r>
        <w:t xml:space="preserve">reactively, as an affected party, rather than as an agenda-setter for economic justice.</w:t>
      </w:r>
    </w:p>
    <w:p>
      <w:pPr>
        <w:pStyle w:val="BodyText"/>
      </w:pPr>
      <w:r>
        <w:t xml:space="preserve">This finding matters across three fields. For sociology of religion, it qualifies accounts of the Croatian</w:t>
      </w:r>
      <w:r>
        <w:t xml:space="preserve"> </w:t>
      </w:r>
      <w:r>
        <w:t xml:space="preserve">Church as a strong public actor: on the economy, at least, its digital-public presence is thin and</w:t>
      </w:r>
      <w:r>
        <w:t xml:space="preserve"> </w:t>
      </w:r>
      <w:r>
        <w:t xml:space="preserve">non-prophetic. For media studies, it extends inflation-salience research into the religious sphere and shows</w:t>
      </w:r>
      <w:r>
        <w:t xml:space="preserve"> </w:t>
      </w:r>
      <w:r>
        <w:t xml:space="preserve">that the</w:t>
      </w:r>
      <w:r>
        <w:t xml:space="preserve"> </w:t>
      </w:r>
      <w:r>
        <w:t xml:space="preserve">“who is hurt”</w:t>
      </w:r>
      <w:r>
        <w:t xml:space="preserve"> </w:t>
      </w:r>
      <w:r>
        <w:t xml:space="preserve">framing has a specifically institutional variant:</w:t>
      </w:r>
      <w:r>
        <w:t xml:space="preserve"> </w:t>
      </w:r>
      <w:r>
        <w:t xml:space="preserve">“who charges more.”</w:t>
      </w:r>
      <w:r>
        <w:t xml:space="preserve"> </w:t>
      </w:r>
      <w:r>
        <w:t xml:space="preserve">For CST</w:t>
      </w:r>
      <w:r>
        <w:t xml:space="preserve"> </w:t>
      </w:r>
      <w:r>
        <w:t xml:space="preserve">scholarship, the absence poses the question of why the doctrinal justice frame does not travel into the</w:t>
      </w:r>
      <w:r>
        <w:t xml:space="preserve"> </w:t>
      </w:r>
      <w:r>
        <w:t xml:space="preserve">national digital public sphere.</w:t>
      </w:r>
    </w:p>
    <w:p>
      <w:pPr>
        <w:pStyle w:val="BodyText"/>
      </w:pPr>
      <w:r>
        <w:t xml:space="preserve">Three implications for social policy follow. First, agenda-setting research suggests that media frames shape</w:t>
      </w:r>
      <w:r>
        <w:t xml:space="preserve"> </w:t>
      </w:r>
      <w:r>
        <w:t xml:space="preserve">which policy responses the public sees as warranted. If so, a digital sphere in which religion meets inflation</w:t>
      </w:r>
      <w:r>
        <w:t xml:space="preserve"> </w:t>
      </w:r>
      <w:r>
        <w:t xml:space="preserve">as fees and institutional news, rather than as structural injustice, does little to build public support for</w:t>
      </w:r>
      <w:r>
        <w:t xml:space="preserve"> </w:t>
      </w:r>
      <w:r>
        <w:t xml:space="preserve">redistributive or anti-poverty responses to a cost-of-living shock, even though doctrine points exactly there.</w:t>
      </w:r>
      <w:r>
        <w:t xml:space="preserve"> </w:t>
      </w:r>
      <w:r>
        <w:t xml:space="preserve">Second, the visible charity register (17%) shows the place the country’s main faith-based relief network holds</w:t>
      </w:r>
      <w:r>
        <w:t xml:space="preserve"> </w:t>
      </w:r>
      <w:r>
        <w:t xml:space="preserve">in the digital public sphere. Caritas appears as an episodic relief actor rather than as an advocate for</w:t>
      </w:r>
      <w:r>
        <w:t xml:space="preserve"> </w:t>
      </w:r>
      <w:r>
        <w:t xml:space="preserve">structural reform. This is the familiar charity-versus-justice tension in faith-based welfare, here measured</w:t>
      </w:r>
      <w:r>
        <w:t xml:space="preserve"> </w:t>
      </w:r>
      <w:r>
        <w:t xml:space="preserve">rather than asserted. Third, the dominant cost-of-religious-life register points to a concrete social-policy</w:t>
      </w:r>
      <w:r>
        <w:t xml:space="preserve"> </w:t>
      </w:r>
      <w:r>
        <w:t xml:space="preserve">object. For religiously observant low-income households, fees for weddings, funerals, and other rites of</w:t>
      </w:r>
      <w:r>
        <w:t xml:space="preserve"> </w:t>
      </w:r>
      <w:r>
        <w:t xml:space="preserve">passage are close to obligatory expenses. They are a neglected part of cost-of-living measurement, which the</w:t>
      </w:r>
      <w:r>
        <w:t xml:space="preserve"> </w:t>
      </w:r>
      <w:r>
        <w:t xml:space="preserve">church-fee resets around the euro changeover made briefly and unusually visible.</w:t>
      </w:r>
    </w:p>
    <w:p>
      <w:pPr>
        <w:pStyle w:val="BodyText"/>
      </w:pPr>
      <w:r>
        <w:t xml:space="preserve">To summarize the scorecard (Table 7, Appendix C), the three tested hypotheses are borne out, H1 only partially.</w:t>
      </w:r>
      <w:r>
        <w:t xml:space="preserve"> </w:t>
      </w:r>
      <w:r>
        <w:t xml:space="preserve">Attention rises with prices (H1, partially supported, since energy couples only weakly), the register depends on the outlet (H2, supported</w:t>
      </w:r>
      <w:r>
        <w:t xml:space="preserve"> </w:t>
      </w:r>
      <w:r>
        <w:t xml:space="preserve">by chi-square), and the tone depends on the register (H3, supported but exploratory on vendor sentiment). Of</w:t>
      </w:r>
      <w:r>
        <w:t xml:space="preserve"> </w:t>
      </w:r>
      <w:r>
        <w:t xml:space="preserve">the three propositions, resonance rather than setting is provisionally consistent (P1, pending a lead-lag</w:t>
      </w:r>
      <w:r>
        <w:t xml:space="preserve"> </w:t>
      </w:r>
      <w:r>
        <w:t xml:space="preserve">test), the prophetic-actor proposition is not visible in the digital-news measure (P2, though a news corpus</w:t>
      </w:r>
      <w:r>
        <w:t xml:space="preserve"> </w:t>
      </w:r>
      <w:r>
        <w:t xml:space="preserve">cannot test the actor-level claim), and episodic-over-thematic framing is supported, in part by construction</w:t>
      </w:r>
      <w:r>
        <w:t xml:space="preserve"> </w:t>
      </w:r>
      <w:r>
        <w:t xml:space="preserve">(P3).</w:t>
      </w:r>
    </w:p>
    <w:bookmarkEnd w:id="50"/>
    <w:bookmarkStart w:id="51" w:name="X6535005a5203a706235f7a0bfb26f00e8c65b3d"/>
    <w:p>
      <w:pPr>
        <w:pStyle w:val="Heading2"/>
      </w:pPr>
      <w:r>
        <w:t xml:space="preserve">METHODOLOGICAL CONTRIBUTION: CO-OCCURRENCE IS NOT ENGAGEMENT</w:t>
      </w:r>
    </w:p>
    <w:p>
      <w:pPr>
        <w:pStyle w:val="FirstParagraph"/>
      </w:pPr>
      <w:r>
        <w:t xml:space="preserve">Independent of the substantive story, the study is a cautionary demonstration. Had we counted co-occurrence, we</w:t>
      </w:r>
      <w:r>
        <w:t xml:space="preserve"> </w:t>
      </w:r>
      <w:r>
        <w:t xml:space="preserve">would have reported thousands of</w:t>
      </w:r>
      <w:r>
        <w:t xml:space="preserve"> </w:t>
      </w:r>
      <w:r>
        <w:t xml:space="preserve">“religious engagements with inflation.”</w:t>
      </w:r>
      <w:r>
        <w:t xml:space="preserve"> </w:t>
      </w:r>
      <w:r>
        <w:t xml:space="preserve">Measured, genuine domestic linkage is</w:t>
      </w:r>
      <w:r>
        <w:t xml:space="preserve"> </w:t>
      </w:r>
      <w:r>
        <w:t xml:space="preserve">520 posts. The gap is not noise to tolerate but signal to remove: keyword-filtered corpora manufacture</w:t>
      </w:r>
      <w:r>
        <w:t xml:space="preserve"> </w:t>
      </w:r>
      <w:r>
        <w:t xml:space="preserve">incidental co-mention at scale. Our pipeline, combining anchored lexicons with metaphor and homonym guards, a</w:t>
      </w:r>
      <w:r>
        <w:t xml:space="preserve"> </w:t>
      </w:r>
      <w:r>
        <w:t xml:space="preserve">recall-oriented proximity filter, and multi-annotator coding with reported inter-annotator agreement, is a</w:t>
      </w:r>
      <w:r>
        <w:t xml:space="preserve"> </w:t>
      </w:r>
      <w:r>
        <w:t xml:space="preserve">reusable template for any</w:t>
      </w:r>
      <w:r>
        <w:t xml:space="preserve"> </w:t>
      </w:r>
      <w:r>
        <w:t xml:space="preserve">“religion and X”</w:t>
      </w:r>
      <w:r>
        <w:t xml:space="preserve"> </w:t>
      </w:r>
      <w:r>
        <w:t xml:space="preserve">(or</w:t>
      </w:r>
      <w:r>
        <w:t xml:space="preserve"> </w:t>
      </w:r>
      <w:r>
        <w:t xml:space="preserve">“A and B”</w:t>
      </w:r>
      <w:r>
        <w:t xml:space="preserve">) corpus study.</w:t>
      </w:r>
    </w:p>
    <w:bookmarkEnd w:id="51"/>
    <w:bookmarkStart w:id="52" w:name="limitations"/>
    <w:p>
      <w:pPr>
        <w:pStyle w:val="Heading2"/>
      </w:pPr>
      <w:r>
        <w:t xml:space="preserve">LIMITATIONS</w:t>
      </w:r>
    </w:p>
    <w:p>
      <w:pPr>
        <w:pStyle w:val="FirstParagraph"/>
      </w:pPr>
      <w:r>
        <w:t xml:space="preserve">Several limitations qualify these findings. Collection intensity was not perfectly uniform across the six</w:t>
      </w:r>
      <w:r>
        <w:t xml:space="preserve"> </w:t>
      </w:r>
      <w:r>
        <w:t xml:space="preserve">years, so the year-to-year volumes should be read as indicative and the exact size of the post-2022 decline is</w:t>
      </w:r>
      <w:r>
        <w:t xml:space="preserve"> </w:t>
      </w:r>
      <w:r>
        <w:t xml:space="preserve">uncertain. The rise to the 2022 peak and the broad decline afterwards are robust, but the precise annual counts</w:t>
      </w:r>
      <w:r>
        <w:t xml:space="preserve"> </w:t>
      </w:r>
      <w:r>
        <w:t xml:space="preserve">are not. Inter-annotator agreement is high (0.97), but this is agreement between models, not a human gold</w:t>
      </w:r>
      <w:r>
        <w:t xml:space="preserve"> </w:t>
      </w:r>
      <w:r>
        <w:t xml:space="preserve">standard. Before final publication we plan a human double-coding of at least 100 posts, including the</w:t>
      </w:r>
      <w:r>
        <w:t xml:space="preserve"> </w:t>
      </w:r>
      <w:r>
        <w:t xml:space="preserve">foreign-versus-domestic decision that defines the core of 520, together with a resolution of the 12</w:t>
      </w:r>
      <w:r>
        <w:t xml:space="preserve"> </w:t>
      </w:r>
      <w:r>
        <w:t xml:space="preserve">“disputed”</w:t>
      </w:r>
      <w:r>
        <w:t xml:space="preserve"> </w:t>
      </w:r>
      <w:r>
        <w:t xml:space="preserve">register cases. The Church-as-institution register is also mixed. It counts both the Church as an affected</w:t>
      </w:r>
      <w:r>
        <w:t xml:space="preserve"> </w:t>
      </w:r>
      <w:r>
        <w:t xml:space="preserve">party and clergy speaking as commentators, so the economic-object reading of the 72% macro-register is an upper</w:t>
      </w:r>
      <w:r>
        <w:t xml:space="preserve"> </w:t>
      </w:r>
      <w:r>
        <w:t xml:space="preserve">bound. The planned human round will split this register into affected party and commentator and recompute the</w:t>
      </w:r>
      <w:r>
        <w:t xml:space="preserve"> </w:t>
      </w:r>
      <w:r>
        <w:t xml:space="preserve">figure on that split. Finally, even after majority coding a few posts are misclassified, so a high-confidence</w:t>
      </w:r>
      <w:r>
        <w:t xml:space="preserve"> </w:t>
      </w:r>
      <w:r>
        <w:t xml:space="preserve">subset of 518 posts on which all three annotators agreed is available for sensitivity analysis.</w:t>
      </w:r>
    </w:p>
    <w:p>
      <w:pPr>
        <w:pStyle w:val="BodyText"/>
      </w:pPr>
      <w:r>
        <w:t xml:space="preserve">Register was the lowest-agreement axis, and the 37% versus 34% ordering is within noise, which is why we report</w:t>
      </w:r>
      <w:r>
        <w:t xml:space="preserve"> </w:t>
      </w:r>
      <w:r>
        <w:t xml:space="preserve">the ≈72% macro-register, while 3% justice is a strict floor, at most 8% broadly construed. The proximity</w:t>
      </w:r>
      <w:r>
        <w:t xml:space="preserve"> </w:t>
      </w:r>
      <w:r>
        <w:t xml:space="preserve">filter’s misses may also be register-non-random, since long-form thematic argument is likelier to exceed a</w:t>
      </w:r>
      <w:r>
        <w:t xml:space="preserve"> </w:t>
      </w:r>
      <w:r>
        <w:t xml:space="preserve">±220-character window, so filter design as well as strict coding may depress the justice floor, and a planned</w:t>
      </w:r>
      <w:r>
        <w:t xml:space="preserve"> </w:t>
      </w:r>
      <w:r>
        <w:t xml:space="preserve">window-sensitivity check addresses this. The attention-price test is also conducted only at the level of</w:t>
      </w:r>
      <w:r>
        <w:t xml:space="preserve"> </w:t>
      </w:r>
      <w:r>
        <w:t xml:space="preserve">corpus-wide inflation-attention. A monthly HICP overlay on the religion-linked core specifically is too sparse</w:t>
      </w:r>
      <w:r>
        <w:t xml:space="preserve"> </w:t>
      </w:r>
      <w:r>
        <w:t xml:space="preserve">to test, and the lead-lag test of resonance against public search interest is future work.</w:t>
      </w:r>
    </w:p>
    <w:p>
      <w:pPr>
        <w:pStyle w:val="BodyText"/>
      </w:pPr>
      <w:r>
        <w:t xml:space="preserve">Because the corpus is religion-filtered, we cannot yet say whether structural framing is rarer in religious</w:t>
      </w:r>
      <w:r>
        <w:t xml:space="preserve"> </w:t>
      </w:r>
      <w:r>
        <w:t xml:space="preserve">than in secular inflation coverage, and a benchmark on non-religious inflation posts is needed before any claim</w:t>
      </w:r>
      <w:r>
        <w:t xml:space="preserve"> </w:t>
      </w:r>
      <w:r>
        <w:t xml:space="preserve">that the Church specifically underuses the justice frame. Finally,</w:t>
      </w:r>
      <w:r>
        <w:t xml:space="preserve"> </w:t>
      </w:r>
      <w:r>
        <w:t xml:space="preserve">“secular”</w:t>
      </w:r>
      <w:r>
        <w:t xml:space="preserve"> </w:t>
      </w:r>
      <w:r>
        <w:t xml:space="preserve">here means secular outlets’</w:t>
      </w:r>
      <w:r>
        <w:t xml:space="preserve"> </w:t>
      </w:r>
      <w:r>
        <w:t xml:space="preserve">religion-adjacent output, not their full inflation coverage, and the core is also 96% web, so claims generalize</w:t>
      </w:r>
      <w:r>
        <w:t xml:space="preserve"> </w:t>
      </w:r>
      <w:r>
        <w:t xml:space="preserve">to the web-portal public sphere rather than to all platforms.</w:t>
      </w:r>
    </w:p>
    <w:bookmarkEnd w:id="52"/>
    <w:bookmarkStart w:id="53" w:name="conclusion"/>
    <w:p>
      <w:pPr>
        <w:pStyle w:val="Heading2"/>
      </w:pPr>
      <w:r>
        <w:t xml:space="preserve">CONCLUSION</w:t>
      </w:r>
    </w:p>
    <w:p>
      <w:pPr>
        <w:pStyle w:val="FirstParagraph"/>
      </w:pPr>
      <w:r>
        <w:t xml:space="preserve">When prices rose in Croatia, religion did enter the digital conversation about inflation, but as an institution</w:t>
      </w:r>
      <w:r>
        <w:t xml:space="preserve"> </w:t>
      </w:r>
      <w:r>
        <w:t xml:space="preserve">whose candles, masses and fees had become more expensive, and whose charities responded, far more than as a</w:t>
      </w:r>
      <w:r>
        <w:t xml:space="preserve"> </w:t>
      </w:r>
      <w:r>
        <w:t xml:space="preserve">prophetic voice for the poor. Media attention to inflation tracked real prices closely, but the religious</w:t>
      </w:r>
      <w:r>
        <w:t xml:space="preserve"> </w:t>
      </w:r>
      <w:r>
        <w:t xml:space="preserve">structural-justice frame did not fill that attention. Costlier candles, quiet prophets. Whether this reflects a</w:t>
      </w:r>
      <w:r>
        <w:t xml:space="preserve"> </w:t>
      </w:r>
      <w:r>
        <w:t xml:space="preserve">genuinely quiet Church, newsroom gatekeeping that finds fees more newsworthy than prophecy, or a justice voice</w:t>
      </w:r>
      <w:r>
        <w:t xml:space="preserve"> </w:t>
      </w:r>
      <w:r>
        <w:t xml:space="preserve">carried in channels a news corpus does not capture, is the question the absence opens. The planned secular</w:t>
      </w:r>
      <w:r>
        <w:t xml:space="preserve"> </w:t>
      </w:r>
      <w:r>
        <w:t xml:space="preserve">benchmark and supply-side corpus of Church-authored texts are designed to answer it, with a lead-lag test and</w:t>
      </w:r>
      <w:r>
        <w:t xml:space="preserve"> </w:t>
      </w:r>
      <w:r>
        <w:t xml:space="preserve">human validation securing the ground beneath them.</w:t>
      </w:r>
    </w:p>
    <w:bookmarkEnd w:id="53"/>
    <w:bookmarkStart w:id="54" w:name="data-and-code-availability"/>
    <w:p>
      <w:pPr>
        <w:pStyle w:val="Heading2"/>
      </w:pPr>
      <w:r>
        <w:t xml:space="preserve">DATA AND CODE AVAILABILITY</w:t>
      </w:r>
    </w:p>
    <w:p>
      <w:pPr>
        <w:pStyle w:val="FirstParagraph"/>
      </w:pPr>
      <w:r>
        <w:t xml:space="preserve">The aggregate outputs behind every table and figure, together with the coded data and the HICP price series,</w:t>
      </w:r>
      <w:r>
        <w:t xml:space="preserve"> </w:t>
      </w:r>
      <w:r>
        <w:t xml:space="preserve">are available on request. The underlying corpus contains scraped post text and is not redistributable, so the</w:t>
      </w:r>
      <w:r>
        <w:t xml:space="preserve"> </w:t>
      </w:r>
      <w:r>
        <w:t xml:space="preserve">analysis is reproducible from the aggregate data and the analysis scripts rather than from the raw corpus. The</w:t>
      </w:r>
      <w:r>
        <w:t xml:space="preserve"> </w:t>
      </w:r>
      <w:r>
        <w:t xml:space="preserve">measured-core file carries URLs and text excerpts and is held internally pending a statistical-disclosure</w:t>
      </w:r>
      <w:r>
        <w:t xml:space="preserve"> </w:t>
      </w:r>
      <w:r>
        <w:t xml:space="preserve">review.</w:t>
      </w:r>
    </w:p>
    <w:bookmarkEnd w:id="54"/>
    <w:bookmarkStart w:id="55" w:name="ethics-and-disclosure"/>
    <w:p>
      <w:pPr>
        <w:pStyle w:val="Heading2"/>
      </w:pPr>
      <w:r>
        <w:t xml:space="preserve">ETHICS AND DISCLOSURE</w:t>
      </w:r>
    </w:p>
    <w:p>
      <w:pPr>
        <w:pStyle w:val="FirstParagraph"/>
      </w:pPr>
      <w:r>
        <w:t xml:space="preserve">The corpus consists of publicly posted media content collected via a commercial monitoring service. The paper</w:t>
      </w:r>
      <w:r>
        <w:t xml:space="preserve"> </w:t>
      </w:r>
      <w:r>
        <w:t xml:space="preserve">reports only aggregate counts and shares. No personal data, account identifiers, or verbatim private content are</w:t>
      </w:r>
      <w:r>
        <w:t xml:space="preserve"> </w:t>
      </w:r>
      <w:r>
        <w:t xml:space="preserve">published. Outlet names are public publishers. A disclosure/PII screen is run before any data extract is shared.</w:t>
      </w:r>
    </w:p>
    <w:bookmarkEnd w:id="55"/>
    <w:bookmarkStart w:id="56" w:name="acknowledgments"/>
    <w:p>
      <w:pPr>
        <w:pStyle w:val="Heading2"/>
      </w:pPr>
      <w:r>
        <w:t xml:space="preserve">ACKNOWLEDGMENTS</w:t>
      </w:r>
    </w:p>
    <w:p>
      <w:pPr>
        <w:pStyle w:val="FirstParagraph"/>
      </w:pPr>
      <w:r>
        <w:t xml:space="preserve">This research was conducted within the DigiKat project at the Catholic University of Croatia (Hrvatsko katoličko</w:t>
      </w:r>
      <w:r>
        <w:t xml:space="preserve"> </w:t>
      </w:r>
      <w:r>
        <w:t xml:space="preserve">sveučilište), Department of Communication Studies. This is a working manuscript (first complete version,</w:t>
      </w:r>
      <w:r>
        <w:t xml:space="preserve"> </w:t>
      </w:r>
      <w:r>
        <w:t xml:space="preserve">1 July 2026), and authorship and author order are to be finalized. It is released under CC BY 4.0, and</w:t>
      </w:r>
      <w:r>
        <w:t xml:space="preserve"> </w:t>
      </w:r>
      <w:r>
        <w:t xml:space="preserve">open-science (FAIR) principles apply.</w:t>
      </w:r>
    </w:p>
    <w:bookmarkEnd w:id="56"/>
    <w:bookmarkStart w:id="57" w:name="references"/>
    <w:p>
      <w:pPr>
        <w:pStyle w:val="Heading2"/>
      </w:pPr>
      <w:r>
        <w:t xml:space="preserve">REFERENCES</w:t>
      </w:r>
    </w:p>
    <w:p>
      <w:pPr>
        <w:pStyle w:val="Compact"/>
        <w:numPr>
          <w:ilvl w:val="0"/>
          <w:numId w:val="1001"/>
        </w:numPr>
      </w:pPr>
      <w:r>
        <w:t xml:space="preserve">Aarab, I., Bańbura, M., Bobeica, E., &amp; Leguay, T. (2025). Tracking inflation attention.</w:t>
      </w:r>
      <w:r>
        <w:t xml:space="preserve"> </w:t>
      </w:r>
      <w:r>
        <w:rPr>
          <w:i/>
          <w:iCs/>
        </w:rPr>
        <w:t xml:space="preserve">ECB Economic Bulletin</w:t>
      </w:r>
      <w:r>
        <w:t xml:space="preserve"> </w:t>
      </w:r>
      <w:r>
        <w:t xml:space="preserve">6/2025.</w:t>
      </w:r>
    </w:p>
    <w:p>
      <w:pPr>
        <w:pStyle w:val="Compact"/>
        <w:numPr>
          <w:ilvl w:val="0"/>
          <w:numId w:val="1001"/>
        </w:numPr>
      </w:pPr>
      <w:r>
        <w:t xml:space="preserve">Benedict XVI (2009).</w:t>
      </w:r>
      <w:r>
        <w:t xml:space="preserve"> </w:t>
      </w:r>
      <w:r>
        <w:rPr>
          <w:i/>
          <w:iCs/>
        </w:rPr>
        <w:t xml:space="preserve">Caritas in Veritate.</w:t>
      </w:r>
    </w:p>
    <w:p>
      <w:pPr>
        <w:pStyle w:val="Compact"/>
        <w:numPr>
          <w:ilvl w:val="0"/>
          <w:numId w:val="1001"/>
        </w:numPr>
      </w:pPr>
      <w:r>
        <w:t xml:space="preserve">Champagne, C., et al. (2024).</w:t>
      </w:r>
      <w:r>
        <w:t xml:space="preserve"> </w:t>
      </w:r>
      <w:r>
        <w:t xml:space="preserve">“Heating or eating”</w:t>
      </w:r>
      <w:r>
        <w:t xml:space="preserve">: framing the cost-of-living crisis.</w:t>
      </w:r>
      <w:r>
        <w:t xml:space="preserve"> </w:t>
      </w:r>
      <w:r>
        <w:rPr>
          <w:i/>
          <w:iCs/>
        </w:rPr>
        <w:t xml:space="preserve">Social Science &amp; Medicine, 360</w:t>
      </w:r>
      <w:r>
        <w:t xml:space="preserve">, 117312.</w:t>
      </w:r>
    </w:p>
    <w:p>
      <w:pPr>
        <w:pStyle w:val="Compact"/>
        <w:numPr>
          <w:ilvl w:val="0"/>
          <w:numId w:val="1001"/>
        </w:numPr>
      </w:pPr>
      <w:r>
        <w:t xml:space="preserve">Francis (2013).</w:t>
      </w:r>
      <w:r>
        <w:t xml:space="preserve"> </w:t>
      </w:r>
      <w:r>
        <w:rPr>
          <w:i/>
          <w:iCs/>
        </w:rPr>
        <w:t xml:space="preserve">Evangelii Gaudium.</w:t>
      </w:r>
    </w:p>
    <w:p>
      <w:pPr>
        <w:pStyle w:val="Compact"/>
        <w:numPr>
          <w:ilvl w:val="0"/>
          <w:numId w:val="1001"/>
        </w:numPr>
      </w:pPr>
      <w:r>
        <w:t xml:space="preserve">Geiß, S. (2022). Conditional agenda-setting.</w:t>
      </w:r>
      <w:r>
        <w:t xml:space="preserve"> </w:t>
      </w:r>
      <w:r>
        <w:rPr>
          <w:i/>
          <w:iCs/>
        </w:rPr>
        <w:t xml:space="preserve">Communication Research, 49</w:t>
      </w:r>
      <w:r>
        <w:t xml:space="preserve">(2), 296–323.</w:t>
      </w:r>
    </w:p>
    <w:p>
      <w:pPr>
        <w:pStyle w:val="Compact"/>
        <w:numPr>
          <w:ilvl w:val="0"/>
          <w:numId w:val="1001"/>
        </w:numPr>
      </w:pPr>
      <w:r>
        <w:t xml:space="preserve">Gutiérrez, G. (1971/1973).</w:t>
      </w:r>
      <w:r>
        <w:t xml:space="preserve"> </w:t>
      </w:r>
      <w:r>
        <w:rPr>
          <w:i/>
          <w:iCs/>
        </w:rPr>
        <w:t xml:space="preserve">A Theology of Liberation.</w:t>
      </w:r>
      <w:r>
        <w:t xml:space="preserve"> </w:t>
      </w:r>
      <w:r>
        <w:t xml:space="preserve">Orbis.</w:t>
      </w:r>
    </w:p>
    <w:p>
      <w:pPr>
        <w:pStyle w:val="Compact"/>
        <w:numPr>
          <w:ilvl w:val="0"/>
          <w:numId w:val="1001"/>
        </w:numPr>
      </w:pPr>
      <w:r>
        <w:t xml:space="preserve">Iyengar, S. (1991).</w:t>
      </w:r>
      <w:r>
        <w:t xml:space="preserve"> </w:t>
      </w:r>
      <w:r>
        <w:rPr>
          <w:i/>
          <w:iCs/>
        </w:rPr>
        <w:t xml:space="preserve">Is Anyone Responsible?</w:t>
      </w:r>
      <w:r>
        <w:t xml:space="preserve"> </w:t>
      </w:r>
      <w:r>
        <w:t xml:space="preserve">University of Chicago Press.</w:t>
      </w:r>
    </w:p>
    <w:p>
      <w:pPr>
        <w:pStyle w:val="Compact"/>
        <w:numPr>
          <w:ilvl w:val="0"/>
          <w:numId w:val="1001"/>
        </w:numPr>
      </w:pPr>
      <w:r>
        <w:t xml:space="preserve">Korenok, O., Munro, D., &amp; Chen, J. (2026). Inflation and attention thresholds.</w:t>
      </w:r>
      <w:r>
        <w:t xml:space="preserve"> </w:t>
      </w:r>
      <w:r>
        <w:rPr>
          <w:i/>
          <w:iCs/>
        </w:rPr>
        <w:t xml:space="preserve">Review of Economics and Statistics, 108</w:t>
      </w:r>
      <w:r>
        <w:t xml:space="preserve">(3), 842–850.</w:t>
      </w:r>
    </w:p>
    <w:p>
      <w:pPr>
        <w:pStyle w:val="Compact"/>
        <w:numPr>
          <w:ilvl w:val="0"/>
          <w:numId w:val="1001"/>
        </w:numPr>
      </w:pPr>
      <w:r>
        <w:t xml:space="preserve">Lamla, M. J., &amp; Maag, T. (2012). The role of media for inflation expectations.</w:t>
      </w:r>
      <w:r>
        <w:t xml:space="preserve"> </w:t>
      </w:r>
      <w:r>
        <w:rPr>
          <w:i/>
          <w:iCs/>
        </w:rPr>
        <w:t xml:space="preserve">Journal of Money, Credit and Banking, 44</w:t>
      </w:r>
      <w:r>
        <w:t xml:space="preserve">(7), 1325–1350.</w:t>
      </w:r>
    </w:p>
    <w:p>
      <w:pPr>
        <w:pStyle w:val="Compact"/>
        <w:numPr>
          <w:ilvl w:val="0"/>
          <w:numId w:val="1001"/>
        </w:numPr>
      </w:pPr>
      <w:r>
        <w:t xml:space="preserve">McCombs, M. (2004).</w:t>
      </w:r>
      <w:r>
        <w:t xml:space="preserve"> </w:t>
      </w:r>
      <w:r>
        <w:rPr>
          <w:i/>
          <w:iCs/>
        </w:rPr>
        <w:t xml:space="preserve">Setting the Agenda: The Mass Media and Public Opinion.</w:t>
      </w:r>
      <w:r>
        <w:t xml:space="preserve"> </w:t>
      </w:r>
      <w:r>
        <w:t xml:space="preserve">Polity Press.</w:t>
      </w:r>
    </w:p>
    <w:p>
      <w:pPr>
        <w:pStyle w:val="Compact"/>
        <w:numPr>
          <w:ilvl w:val="0"/>
          <w:numId w:val="1001"/>
        </w:numPr>
      </w:pPr>
      <w:r>
        <w:t xml:space="preserve">McCombs, M. E., &amp; Shaw, D. L. (1972). The agenda-setting function of mass media.</w:t>
      </w:r>
      <w:r>
        <w:t xml:space="preserve"> </w:t>
      </w:r>
      <w:r>
        <w:rPr>
          <w:i/>
          <w:iCs/>
        </w:rPr>
        <w:t xml:space="preserve">Public Opinion Quarterly, 36</w:t>
      </w:r>
      <w:r>
        <w:t xml:space="preserve">(2), 176–187.</w:t>
      </w:r>
    </w:p>
    <w:p>
      <w:pPr>
        <w:pStyle w:val="Compact"/>
        <w:numPr>
          <w:ilvl w:val="0"/>
          <w:numId w:val="1001"/>
        </w:numPr>
      </w:pPr>
      <w:r>
        <w:t xml:space="preserve">Pfäuti, O. (2024). The inflation attention threshold. arXiv:2308.09480.</w:t>
      </w:r>
    </w:p>
    <w:p>
      <w:pPr>
        <w:pStyle w:val="Compact"/>
        <w:numPr>
          <w:ilvl w:val="0"/>
          <w:numId w:val="1001"/>
        </w:numPr>
      </w:pPr>
      <w:r>
        <w:t xml:space="preserve">Wlezien, C., &amp; Soroka, S. (2024). Media and the public’s attention.</w:t>
      </w:r>
      <w:r>
        <w:t xml:space="preserve"> </w:t>
      </w:r>
      <w:r>
        <w:rPr>
          <w:i/>
          <w:iCs/>
        </w:rPr>
        <w:t xml:space="preserve">American Political Science Review, 118</w:t>
      </w:r>
      <w:r>
        <w:t xml:space="preserve">(3), 1563–1569.</w:t>
      </w:r>
    </w:p>
    <w:p>
      <w:pPr>
        <w:pStyle w:val="Compact"/>
        <w:numPr>
          <w:ilvl w:val="0"/>
          <w:numId w:val="1001"/>
        </w:numPr>
      </w:pPr>
      <w:r>
        <w:t xml:space="preserve">Yin, R. K. (2018).</w:t>
      </w:r>
      <w:r>
        <w:t xml:space="preserve"> </w:t>
      </w:r>
      <w:r>
        <w:rPr>
          <w:i/>
          <w:iCs/>
        </w:rPr>
        <w:t xml:space="preserve">Case Study Research and Applications: Design and Methods</w:t>
      </w:r>
      <w:r>
        <w:t xml:space="preserve"> </w:t>
      </w:r>
      <w:r>
        <w:t xml:space="preserve">(6th ed.). Sage.</w:t>
      </w:r>
    </w:p>
    <w:p>
      <w:pPr>
        <w:pStyle w:val="FirstParagraph"/>
      </w:pPr>
      <w:r>
        <w:t xml:space="preserve">Some literature entries remain to be verified against Hrčak and CrossRef before submission. The price data are</w:t>
      </w:r>
      <w:r>
        <w:t xml:space="preserve"> </w:t>
      </w:r>
      <w:r>
        <w:t xml:space="preserve">the Croatian HICP annual rate of change (all items, food, and energy, monthly) from Eurostat, retrieved on 1</w:t>
      </w:r>
      <w:r>
        <w:t xml:space="preserve"> </w:t>
      </w:r>
      <w:r>
        <w:t xml:space="preserve">July 2026.</w:t>
      </w:r>
    </w:p>
    <w:bookmarkEnd w:id="57"/>
    <w:bookmarkStart w:id="58" w:name="appendix-a.-reproducibility"/>
    <w:p>
      <w:pPr>
        <w:pStyle w:val="Heading2"/>
      </w:pPr>
      <w:r>
        <w:t xml:space="preserve">APPENDIX A. REPRODUCIBILITY</w:t>
      </w:r>
    </w:p>
    <w:p>
      <w:pPr>
        <w:pStyle w:val="FirstParagraph"/>
      </w:pPr>
      <w:r>
        <w:t xml:space="preserve">The analysis proceeds in five stages. We first tag inflation mentions and identify candidate religion-inflation</w:t>
      </w:r>
      <w:r>
        <w:t xml:space="preserve"> </w:t>
      </w:r>
      <w:r>
        <w:t xml:space="preserve">links in the corpus. We then assemble the 1,450-candidate pool and prepare it for coding. Three annotators code</w:t>
      </w:r>
      <w:r>
        <w:t xml:space="preserve"> </w:t>
      </w:r>
      <w:r>
        <w:t xml:space="preserve">the pool independently, and their labels are combined by majority. From the coded pool we derive the measured</w:t>
      </w:r>
      <w:r>
        <w:t xml:space="preserve"> </w:t>
      </w:r>
      <w:r>
        <w:t xml:space="preserve">core, and from the core we compute the register, outlet, and sentiment tables and figures, the three formal</w:t>
      </w:r>
      <w:r>
        <w:t xml:space="preserve"> </w:t>
      </w:r>
      <w:r>
        <w:t xml:space="preserve">hypothesis tests (the attention-price correlation and threshold test, and the two chi-square tests), and the</w:t>
      </w:r>
      <w:r>
        <w:t xml:space="preserve"> </w:t>
      </w:r>
      <w:r>
        <w:t xml:space="preserve">attention series against HICP. The analysis scripts and the coded data behind every table and figure are</w:t>
      </w:r>
      <w:r>
        <w:t xml:space="preserve"> </w:t>
      </w:r>
      <w:r>
        <w:t xml:space="preserve">available on request. The underlying corpus of scraped post text is not redistributable.</w:t>
      </w:r>
    </w:p>
    <w:bookmarkEnd w:id="58"/>
    <w:bookmarkStart w:id="59" w:name="Xb483bb4055d6085336bb1fd51abbd88cf6808f6"/>
    <w:p>
      <w:pPr>
        <w:pStyle w:val="Heading2"/>
      </w:pPr>
      <w:r>
        <w:t xml:space="preserve">APPENDIX B. CODING PROTOCOL AND VALIDATION</w:t>
      </w:r>
    </w:p>
    <w:p>
      <w:pPr>
        <w:pStyle w:val="FirstParagraph"/>
      </w:pPr>
      <w:r>
        <w:t xml:space="preserve">The four coding axes are described in the Data and Methods section. In held-out validation (n = 80),</w:t>
      </w:r>
      <w:r>
        <w:t xml:space="preserve"> </w:t>
      </w:r>
      <w:r>
        <w:t xml:space="preserve">inter-annotator agreement was 0.975 for inflation, 0.967 for linkage, 0.992 for foreign versus domestic, and</w:t>
      </w:r>
      <w:r>
        <w:t xml:space="preserve"> </w:t>
      </w:r>
      <w:r>
        <w:t xml:space="preserve">0.46 for register. The proximity filter’s held-out precision for domestic linkage was about 0.38 to 0.46, with</w:t>
      </w:r>
      <w:r>
        <w:t xml:space="preserve"> </w:t>
      </w:r>
      <w:r>
        <w:t xml:space="preserve">a recall of about 0.89. Full-pool coding confirmed that 45% of candidates were genuinely linked.</w:t>
      </w:r>
    </w:p>
    <w:bookmarkEnd w:id="59"/>
    <w:bookmarkStart w:id="60" w:name="appendix-c.-hypothesis-scorecard"/>
    <w:p>
      <w:pPr>
        <w:pStyle w:val="Heading2"/>
      </w:pPr>
      <w:r>
        <w:t xml:space="preserve">APPENDIX C. HYPOTHESIS SCORECARD</w:t>
      </w:r>
    </w:p>
    <w:p>
      <w:pPr>
        <w:pStyle w:val="FirstParagraph"/>
      </w:pPr>
      <w:r>
        <w:t xml:space="preserve">Table C1</w:t>
      </w:r>
      <w:r>
        <w:t xml:space="preserve"> </w:t>
      </w:r>
      <w:r>
        <w:rPr>
          <w:i/>
          <w:iCs/>
        </w:rPr>
        <w:t xml:space="preserve">Hypothesis scorecard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#</w:t>
            </w:r>
          </w:p>
        </w:tc>
        <w:tc>
          <w:tcPr/>
          <w:p>
            <w:pPr>
              <w:pStyle w:val="Compact"/>
            </w:pPr>
            <w:r>
              <w:t xml:space="preserve">Statement</w:t>
            </w:r>
          </w:p>
        </w:tc>
        <w:tc>
          <w:tcPr/>
          <w:p>
            <w:pPr>
              <w:pStyle w:val="Compact"/>
            </w:pPr>
            <w:r>
              <w:t xml:space="preserve">Test</w:t>
            </w:r>
          </w:p>
        </w:tc>
        <w:tc>
          <w:tcPr/>
          <w:p>
            <w:pPr>
              <w:pStyle w:val="Compact"/>
            </w:pPr>
            <w:r>
              <w:t xml:space="preserve">Verdict</w:t>
            </w:r>
          </w:p>
        </w:tc>
      </w:tr>
      <w:tr>
        <w:tc>
          <w:tcPr/>
          <w:p>
            <w:pPr>
              <w:pStyle w:val="Compact"/>
            </w:pPr>
            <w:r>
              <w:t xml:space="preserve">H1</w:t>
            </w:r>
          </w:p>
        </w:tc>
        <w:tc>
          <w:tcPr/>
          <w:p>
            <w:pPr>
              <w:pStyle w:val="Compact"/>
            </w:pPr>
            <w:r>
              <w:t xml:space="preserve">Attention rises with HICP and jumps above about 4%, with food and energy at least as salient as the headline</w:t>
            </w:r>
          </w:p>
        </w:tc>
        <w:tc>
          <w:tcPr/>
          <w:p>
            <w:pPr>
              <w:pStyle w:val="Compact"/>
            </w:pPr>
            <w:r>
              <w:t xml:space="preserve">Correlation and threshold t-test</w:t>
            </w:r>
          </w:p>
        </w:tc>
        <w:tc>
          <w:tcPr/>
          <w:p>
            <w:pPr>
              <w:pStyle w:val="Compact"/>
            </w:pPr>
            <w:r>
              <w:t xml:space="preserve">Partially supported (r = 0.73, the threshold jump significant at t = 5.7, food tracking the headline but energy coupling only weakly at r = 0.44)</w:t>
            </w:r>
          </w:p>
        </w:tc>
      </w:tr>
      <w:tr>
        <w:tc>
          <w:tcPr/>
          <w:p>
            <w:pPr>
              <w:pStyle w:val="Compact"/>
            </w:pPr>
            <w:r>
              <w:t xml:space="preserve">H2</w:t>
            </w:r>
          </w:p>
        </w:tc>
        <w:tc>
          <w:tcPr/>
          <w:p>
            <w:pPr>
              <w:pStyle w:val="Compact"/>
            </w:pPr>
            <w:r>
              <w:t xml:space="preserve">The register depends on the type of outlet</w:t>
            </w:r>
          </w:p>
        </w:tc>
        <w:tc>
          <w:tcPr/>
          <w:p>
            <w:pPr>
              <w:pStyle w:val="Compact"/>
            </w:pPr>
            <w:r>
              <w:t xml:space="preserve">Chi-square of independence, register × outlet</w:t>
            </w:r>
          </w:p>
        </w:tc>
        <w:tc>
          <w:tcPr/>
          <w:p>
            <w:pPr>
              <w:pStyle w:val="Compact"/>
            </w:pPr>
            <w:r>
              <w:t xml:space="preserve">Supported (χ²(5) = 50.4, p &lt; 0.001, Cramér’s V = 0.31), driven by the cost of religious life being a secular story</w:t>
            </w:r>
          </w:p>
        </w:tc>
      </w:tr>
      <w:tr>
        <w:tc>
          <w:tcPr/>
          <w:p>
            <w:pPr>
              <w:pStyle w:val="Compact"/>
            </w:pPr>
            <w:r>
              <w:t xml:space="preserve">H3</w:t>
            </w:r>
          </w:p>
        </w:tc>
        <w:tc>
          <w:tcPr/>
          <w:p>
            <w:pPr>
              <w:pStyle w:val="Compact"/>
            </w:pPr>
            <w:r>
              <w:t xml:space="preserve">The tone depends on the register</w:t>
            </w:r>
          </w:p>
        </w:tc>
        <w:tc>
          <w:tcPr/>
          <w:p>
            <w:pPr>
              <w:pStyle w:val="Compact"/>
            </w:pPr>
            <w:r>
              <w:t xml:space="preserve">Chi-square of independence, register × tone</w:t>
            </w:r>
          </w:p>
        </w:tc>
        <w:tc>
          <w:tcPr/>
          <w:p>
            <w:pPr>
              <w:pStyle w:val="Compact"/>
            </w:pPr>
            <w:r>
              <w:t xml:space="preserve">Supported, exploratory (χ²(8) = 48.8, p &lt; 0.001, Cramér’s V = 0.22) on vendor sentiment labels</w:t>
            </w:r>
          </w:p>
        </w:tc>
      </w:tr>
      <w:tr>
        <w:tc>
          <w:tcPr/>
          <w:p>
            <w:pPr>
              <w:pStyle w:val="Compact"/>
            </w:pPr>
            <w:r>
              <w:t xml:space="preserve">P1</w:t>
            </w:r>
          </w:p>
        </w:tc>
        <w:tc>
          <w:tcPr/>
          <w:p>
            <w:pPr>
              <w:pStyle w:val="Compact"/>
            </w:pPr>
            <w:r>
              <w:t xml:space="preserve">Religious coverage resonates rather than leads</w:t>
            </w:r>
          </w:p>
        </w:tc>
        <w:tc>
          <w:tcPr/>
          <w:p>
            <w:pPr>
              <w:pStyle w:val="Compact"/>
            </w:pPr>
            <w:r>
              <w:t xml:space="preserve">Temporal pattern (pattern-matching)</w:t>
            </w:r>
          </w:p>
        </w:tc>
        <w:tc>
          <w:tcPr/>
          <w:p>
            <w:pPr>
              <w:pStyle w:val="Compact"/>
            </w:pPr>
            <w:r>
              <w:t xml:space="preserve">Provisionally consistent, with a lead-lag test still pending</w:t>
            </w:r>
          </w:p>
        </w:tc>
      </w:tr>
      <w:tr>
        <w:tc>
          <w:tcPr/>
          <w:p>
            <w:pPr>
              <w:pStyle w:val="Compact"/>
            </w:pPr>
            <w:r>
              <w:t xml:space="preserve">P2</w:t>
            </w:r>
          </w:p>
        </w:tc>
        <w:tc>
          <w:tcPr/>
          <w:p>
            <w:pPr>
              <w:pStyle w:val="Compact"/>
            </w:pPr>
            <w:r>
              <w:t xml:space="preserve">If prophetic actor, justice register non-trivial and rises with hardship</w:t>
            </w:r>
          </w:p>
        </w:tc>
        <w:tc>
          <w:tcPr/>
          <w:p>
            <w:pPr>
              <w:pStyle w:val="Compact"/>
            </w:pPr>
            <w:r>
              <w:t xml:space="preserve">Register distribution (pattern-matching)</w:t>
            </w:r>
          </w:p>
        </w:tc>
        <w:tc>
          <w:tcPr/>
          <w:p>
            <w:pPr>
              <w:pStyle w:val="Compact"/>
            </w:pPr>
            <w:r>
              <w:t xml:space="preserve">Not visible in the digital-news measure (3% under strict coding, at most 8% broadly, with no rise over time), since the actor-level claim is not testable in a news corpus</w:t>
            </w:r>
          </w:p>
        </w:tc>
      </w:tr>
      <w:tr>
        <w:tc>
          <w:tcPr/>
          <w:p>
            <w:pPr>
              <w:pStyle w:val="Compact"/>
            </w:pPr>
            <w:r>
              <w:t xml:space="preserve">P3</w:t>
            </w:r>
          </w:p>
        </w:tc>
        <w:tc>
          <w:tcPr/>
          <w:p>
            <w:pPr>
              <w:pStyle w:val="Compact"/>
            </w:pPr>
            <w:r>
              <w:t xml:space="preserve">Framing episodic, not thematic</w:t>
            </w:r>
          </w:p>
        </w:tc>
        <w:tc>
          <w:tcPr/>
          <w:p>
            <w:pPr>
              <w:pStyle w:val="Compact"/>
            </w:pPr>
            <w:r>
              <w:t xml:space="preserve">Register distribution (pattern-matching)</w:t>
            </w:r>
          </w:p>
        </w:tc>
        <w:tc>
          <w:tcPr/>
          <w:p>
            <w:pPr>
              <w:pStyle w:val="Compact"/>
            </w:pPr>
            <w:r>
              <w:t xml:space="preserve">Supported (episodic registers</w:t>
            </w:r>
            <w:r>
              <w:t xml:space="preserve"> </w:t>
            </w:r>
            <m:oMath>
              <m:r>
                <m:t>g</m:t>
              </m:r>
              <m:r>
                <m:t>g</m:t>
              </m:r>
            </m:oMath>
            <w:r>
              <w:t xml:space="preserve"> </w:t>
            </w:r>
            <w:r>
              <w:t xml:space="preserve">thematic justice), though partly by construction, since justice is by definition the thematic register</w:t>
            </w:r>
          </w:p>
        </w:tc>
      </w:tr>
    </w:tbl>
    <w:p>
      <w:pPr>
        <w:pStyle w:val="BodyText"/>
      </w:pPr>
      <w:r>
        <w:t xml:space="preserve">Source: Authors’ compilation.</w:t>
      </w:r>
    </w:p>
    <w:p>
      <w:r>
        <w:pict>
          <v:rect style="width:0;height:1.5pt" o:hralign="center" o:hrstd="t" o:hr="t"/>
        </w:pict>
      </w:r>
    </w:p>
    <w:bookmarkEnd w:id="60"/>
    <w:bookmarkStart w:id="61" w:name="sažetak"/>
    <w:p>
      <w:pPr>
        <w:pStyle w:val="Heading2"/>
      </w:pPr>
      <w:r>
        <w:t xml:space="preserve">Sažetak</w:t>
      </w:r>
    </w:p>
    <w:p>
      <w:pPr>
        <w:pStyle w:val="FirstParagraph"/>
      </w:pPr>
      <w:r>
        <w:rPr>
          <w:b/>
          <w:bCs/>
        </w:rPr>
        <w:t xml:space="preserve">SKUPLJE SVIJEĆE, TIHI PROROCI: KAKO SE RELIGIJA SUSREĆE S INFLACIJOM U HRVATSKOME DIGITALNOM MEDIJSKOM PROSTORU, 2021.–2026.</w:t>
      </w:r>
    </w:p>
    <w:p>
      <w:pPr>
        <w:pStyle w:val="BodyText"/>
      </w:pPr>
      <w:r>
        <w:rPr>
          <w:b/>
          <w:bCs/>
        </w:rPr>
        <w:t xml:space="preserve">Luka Šikić</w:t>
      </w:r>
      <w:r>
        <w:t xml:space="preserve">, doc. dr. sc.</w:t>
      </w:r>
      <w:r>
        <w:t xml:space="preserve"> </w:t>
      </w:r>
      <w:r>
        <w:t xml:space="preserve">Hrvatsko katoličko sveučilište, Odjel za komunikologiju</w:t>
      </w:r>
      <w:r>
        <w:t xml:space="preserve"> </w:t>
      </w:r>
      <w:r>
        <w:t xml:space="preserve">Zagreb, Hrvatska</w:t>
      </w:r>
    </w:p>
    <w:p>
      <w:pPr>
        <w:pStyle w:val="BodyText"/>
      </w:pPr>
      <w:r>
        <w:rPr>
          <w:b/>
          <w:bCs/>
        </w:rPr>
        <w:t xml:space="preserve">Petra Palić</w:t>
      </w:r>
      <w:r>
        <w:t xml:space="preserve">, izv. dr. sc.</w:t>
      </w:r>
      <w:r>
        <w:t xml:space="preserve"> </w:t>
      </w:r>
      <w:r>
        <w:t xml:space="preserve">Hrvatsko katoličko sveučilište, Odjel za komunikologiju</w:t>
      </w:r>
      <w:r>
        <w:t xml:space="preserve"> </w:t>
      </w:r>
      <w:r>
        <w:t xml:space="preserve">Zagreb, Hrvatska</w:t>
      </w:r>
    </w:p>
    <w:p>
      <w:pPr>
        <w:pStyle w:val="BodyText"/>
      </w:pPr>
      <w:r>
        <w:rPr>
          <w:b/>
          <w:bCs/>
        </w:rPr>
        <w:t xml:space="preserve">Mislav Sagovac</w:t>
      </w:r>
      <w:r>
        <w:t xml:space="preserve">, dr. sc.</w:t>
      </w:r>
      <w:r>
        <w:t xml:space="preserve"> </w:t>
      </w:r>
      <w:r>
        <w:t xml:space="preserve">Hrvatsko katoličko sveučilište, Odjel za komunikologiju</w:t>
      </w:r>
      <w:r>
        <w:t xml:space="preserve"> </w:t>
      </w:r>
      <w:r>
        <w:t xml:space="preserve">Zagreb, Hrvatska</w:t>
      </w:r>
    </w:p>
    <w:p>
      <w:pPr>
        <w:pStyle w:val="BodyText"/>
      </w:pPr>
      <w:r>
        <w:t xml:space="preserve">Katolički socijalni nauk (KSN) poziva Crkvu da inflaciju imenuje kao nepravdu prema siromašnima. Pitamo kako taj glas doista zvuči u nacionalnome digitalnom medijskom prostoru tijekom šoka troškova života. Iz korpusa DigiKat od 710 307 religijski relevantnih hrvatskih i bosanskih objava (2021.–2026.) izdvajamo spomene inflacije i razlikujemo istinsku povezanost religije i inflacije od slučajnoga supojavljivanja. Nakon kodiranja 1 450 kandidata s trima jezičnim modelima ostaje izmjereni domaći korpus od 520 objava. U njemu se religija s inflacijom susreće pretežno kao s gospodarskim predmetom: rastući trošak religijskoga života i Crkva kao institucija zajedno čine oko 72 % objava, dok registar strukturne pravde koji KSN ističe doseže najviše 8 %. Medijska pozornost prati stvarne cijene (Pearsonov r oko 0,73), no religijski glas pravde ne ispunjava tu pozornost. U korpusima filtriranima ključnim riječima supojavljivanje nije angažman, a povezanost treba mjeriti, a ne brojati.</w:t>
      </w:r>
    </w:p>
    <w:p>
      <w:pPr>
        <w:pStyle w:val="BodyText"/>
      </w:pPr>
      <w:r>
        <w:rPr>
          <w:b/>
          <w:bCs/>
        </w:rPr>
        <w:t xml:space="preserve">Ključne riječi:</w:t>
      </w:r>
      <w:r>
        <w:t xml:space="preserve"> </w:t>
      </w:r>
      <w:r>
        <w:t xml:space="preserve">digitalna religija, istaknutost inflacije, katolički socijalni nauk, medijsko uokvirivanje, postavljanje dnevnoga reda, Hrvatska, računalna analiza teksta.</w:t>
      </w:r>
    </w:p>
    <w:bookmarkEnd w:id="6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  <w:shd w:val="clear" w:fill="f1f3f5"/>
    </w:pPr>
  </w:style>
  <w:style w:type="character" w:customStyle="1" w:styleId="KeywordTok">
    <w:name w:val="KeywordTok"/>
    <w:basedOn w:val="VerbatimChar"/>
    <w:rPr>
      <w:b/>
      <w:color w:val="003b4f"/>
      <w:shd w:val="clear" w:fill="f1f3f5"/>
    </w:rPr>
  </w:style>
  <w:style w:type="character" w:customStyle="1" w:styleId="DataTypeTok">
    <w:name w:val="DataTypeTok"/>
    <w:basedOn w:val="VerbatimChar"/>
    <w:rPr>
      <w:color w:val="ad0000"/>
      <w:shd w:val="clear" w:fill="f1f3f5"/>
    </w:rPr>
  </w:style>
  <w:style w:type="character" w:customStyle="1" w:styleId="DecValTok">
    <w:name w:val="DecValTok"/>
    <w:basedOn w:val="VerbatimChar"/>
    <w:rPr>
      <w:color w:val="ad0000"/>
      <w:shd w:val="clear" w:fill="f1f3f5"/>
    </w:rPr>
  </w:style>
  <w:style w:type="character" w:customStyle="1" w:styleId="BaseNTok">
    <w:name w:val="BaseNTok"/>
    <w:basedOn w:val="VerbatimChar"/>
    <w:rPr>
      <w:color w:val="ad0000"/>
      <w:shd w:val="clear" w:fill="f1f3f5"/>
    </w:rPr>
  </w:style>
  <w:style w:type="character" w:customStyle="1" w:styleId="FloatTok">
    <w:name w:val="FloatTok"/>
    <w:basedOn w:val="VerbatimChar"/>
    <w:rPr>
      <w:color w:val="ad0000"/>
      <w:shd w:val="clear" w:fill="f1f3f5"/>
    </w:rPr>
  </w:style>
  <w:style w:type="character" w:customStyle="1" w:styleId="ConstantTok">
    <w:name w:val="ConstantTok"/>
    <w:basedOn w:val="VerbatimChar"/>
    <w:rPr>
      <w:color w:val="8f5902"/>
      <w:shd w:val="clear" w:fill="f1f3f5"/>
    </w:rPr>
  </w:style>
  <w:style w:type="character" w:customStyle="1" w:styleId="CharTok">
    <w:name w:val="CharTok"/>
    <w:basedOn w:val="VerbatimChar"/>
    <w:rPr>
      <w:color w:val="20794d"/>
      <w:shd w:val="clear" w:fill="f1f3f5"/>
    </w:rPr>
  </w:style>
  <w:style w:type="character" w:customStyle="1" w:styleId="SpecialCharTok">
    <w:name w:val="SpecialCharTok"/>
    <w:basedOn w:val="VerbatimChar"/>
    <w:rPr>
      <w:color w:val="5e5e5e"/>
      <w:shd w:val="clear" w:fill="f1f3f5"/>
    </w:rPr>
  </w:style>
  <w:style w:type="character" w:customStyle="1" w:styleId="StringTok">
    <w:name w:val="StringTok"/>
    <w:basedOn w:val="VerbatimChar"/>
    <w:rPr>
      <w:color w:val="20794d"/>
      <w:shd w:val="clear" w:fill="f1f3f5"/>
    </w:rPr>
  </w:style>
  <w:style w:type="character" w:customStyle="1" w:styleId="VerbatimStringTok">
    <w:name w:val="VerbatimStringTok"/>
    <w:basedOn w:val="VerbatimChar"/>
    <w:rPr>
      <w:color w:val="20794d"/>
      <w:shd w:val="clear" w:fill="f1f3f5"/>
    </w:rPr>
  </w:style>
  <w:style w:type="character" w:customStyle="1" w:styleId="SpecialStringTok">
    <w:name w:val="SpecialStringTok"/>
    <w:basedOn w:val="VerbatimChar"/>
    <w:rPr>
      <w:color w:val="20794d"/>
      <w:shd w:val="clear" w:fill="f1f3f5"/>
    </w:rPr>
  </w:style>
  <w:style w:type="character" w:customStyle="1" w:styleId="ImportTok">
    <w:name w:val="ImportTok"/>
    <w:basedOn w:val="VerbatimChar"/>
    <w:rPr>
      <w:color w:val="00769e"/>
      <w:shd w:val="clear" w:fill="f1f3f5"/>
    </w:rPr>
  </w:style>
  <w:style w:type="character" w:customStyle="1" w:styleId="CommentTok">
    <w:name w:val="CommentTok"/>
    <w:basedOn w:val="VerbatimChar"/>
    <w:rPr>
      <w:color w:val="5e5e5e"/>
      <w:shd w:val="clear" w:fill="f1f3f5"/>
    </w:rPr>
  </w:style>
  <w:style w:type="character" w:customStyle="1" w:styleId="DocumentationTok">
    <w:name w:val="DocumentationTok"/>
    <w:basedOn w:val="VerbatimChar"/>
    <w:rPr>
      <w:i/>
      <w:color w:val="5e5e5e"/>
      <w:shd w:val="clear" w:fill="f1f3f5"/>
    </w:rPr>
  </w:style>
  <w:style w:type="character" w:customStyle="1" w:styleId="AnnotationTok">
    <w:name w:val="AnnotationTok"/>
    <w:basedOn w:val="VerbatimChar"/>
    <w:rPr>
      <w:color w:val="5e5e5e"/>
      <w:shd w:val="clear" w:fill="f1f3f5"/>
    </w:rPr>
  </w:style>
  <w:style w:type="character" w:customStyle="1" w:styleId="CommentVarTok">
    <w:name w:val="CommentVarTok"/>
    <w:basedOn w:val="VerbatimChar"/>
    <w:rPr>
      <w:i/>
      <w:color w:val="5e5e5e"/>
      <w:shd w:val="clear" w:fill="f1f3f5"/>
    </w:rPr>
  </w:style>
  <w:style w:type="character" w:customStyle="1" w:styleId="OtherTok">
    <w:name w:val="OtherTok"/>
    <w:basedOn w:val="VerbatimChar"/>
    <w:rPr>
      <w:color w:val="003b4f"/>
      <w:shd w:val="clear" w:fill="f1f3f5"/>
    </w:rPr>
  </w:style>
  <w:style w:type="character" w:customStyle="1" w:styleId="FunctionTok">
    <w:name w:val="FunctionTok"/>
    <w:basedOn w:val="VerbatimChar"/>
    <w:rPr>
      <w:color w:val="4758ab"/>
      <w:shd w:val="clear" w:fill="f1f3f5"/>
    </w:rPr>
  </w:style>
  <w:style w:type="character" w:customStyle="1" w:styleId="VariableTok">
    <w:name w:val="VariableTok"/>
    <w:basedOn w:val="VerbatimChar"/>
    <w:rPr>
      <w:color w:val="111111"/>
      <w:shd w:val="clear" w:fill="f1f3f5"/>
    </w:rPr>
  </w:style>
  <w:style w:type="character" w:customStyle="1" w:styleId="ControlFlowTok">
    <w:name w:val="ControlFlowTok"/>
    <w:basedOn w:val="VerbatimChar"/>
    <w:rPr>
      <w:b/>
      <w:color w:val="003b4f"/>
      <w:shd w:val="clear" w:fill="f1f3f5"/>
    </w:rPr>
  </w:style>
  <w:style w:type="character" w:customStyle="1" w:styleId="OperatorTok">
    <w:name w:val="OperatorTok"/>
    <w:basedOn w:val="VerbatimChar"/>
    <w:rPr>
      <w:color w:val="5e5e5e"/>
      <w:shd w:val="clear" w:fill="f1f3f5"/>
    </w:rPr>
  </w:style>
  <w:style w:type="character" w:customStyle="1" w:styleId="BuiltInTok">
    <w:name w:val="BuiltInTok"/>
    <w:basedOn w:val="VerbatimChar"/>
    <w:rPr>
      <w:color w:val="003b4f"/>
      <w:shd w:val="clear" w:fill="f1f3f5"/>
    </w:rPr>
  </w:style>
  <w:style w:type="character" w:customStyle="1" w:styleId="ExtensionTok">
    <w:name w:val="ExtensionTok"/>
    <w:basedOn w:val="VerbatimChar"/>
    <w:rPr>
      <w:color w:val="003b4f"/>
      <w:shd w:val="clear" w:fill="f1f3f5"/>
    </w:rPr>
  </w:style>
  <w:style w:type="character" w:customStyle="1" w:styleId="PreprocessorTok">
    <w:name w:val="PreprocessorTok"/>
    <w:basedOn w:val="VerbatimChar"/>
    <w:rPr>
      <w:color w:val="ad0000"/>
      <w:shd w:val="clear" w:fill="f1f3f5"/>
    </w:rPr>
  </w:style>
  <w:style w:type="character" w:customStyle="1" w:styleId="AttributeTok">
    <w:name w:val="AttributeTok"/>
    <w:basedOn w:val="VerbatimChar"/>
    <w:rPr>
      <w:color w:val="657422"/>
      <w:shd w:val="clear" w:fill="f1f3f5"/>
    </w:rPr>
  </w:style>
  <w:style w:type="character" w:customStyle="1" w:styleId="RegionMarkerTok">
    <w:name w:val="RegionMarkerTok"/>
    <w:basedOn w:val="VerbatimChar"/>
    <w:rPr>
      <w:color w:val="003b4f"/>
      <w:shd w:val="clear" w:fill="f1f3f5"/>
    </w:rPr>
  </w:style>
  <w:style w:type="character" w:customStyle="1" w:styleId="InformationTok">
    <w:name w:val="InformationTok"/>
    <w:basedOn w:val="VerbatimChar"/>
    <w:rPr>
      <w:color w:val="5e5e5e"/>
      <w:shd w:val="clear" w:fill="f1f3f5"/>
    </w:rPr>
  </w:style>
  <w:style w:type="character" w:customStyle="1" w:styleId="WarningTok">
    <w:name w:val="WarningTok"/>
    <w:basedOn w:val="VerbatimChar"/>
    <w:rPr>
      <w:i/>
      <w:color w:val="5e5e5e"/>
      <w:shd w:val="clear" w:fill="f1f3f5"/>
    </w:rPr>
  </w:style>
  <w:style w:type="character" w:customStyle="1" w:styleId="AlertTok">
    <w:name w:val="AlertTok"/>
    <w:basedOn w:val="VerbatimChar"/>
    <w:rPr>
      <w:color w:val="ad0000"/>
      <w:shd w:val="clear" w:fill="f1f3f5"/>
    </w:rPr>
  </w:style>
  <w:style w:type="character" w:customStyle="1" w:styleId="ErrorTok">
    <w:name w:val="ErrorTok"/>
    <w:basedOn w:val="VerbatimChar"/>
    <w:rPr>
      <w:color w:val="ad0000"/>
      <w:shd w:val="clear" w:fill="f1f3f5"/>
    </w:rPr>
  </w:style>
  <w:style w:type="character" w:customStyle="1" w:styleId="NormalTok">
    <w:name w:val="NormalTok"/>
    <w:basedOn w:val="VerbatimChar"/>
    <w:rPr>
      <w:color w:val="003b4f"/>
      <w:shd w:val="clear" w:fill="f1f3f5"/>
    </w:rPr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33" Target="media/rId33.png" /><Relationship Type="http://schemas.openxmlformats.org/officeDocument/2006/relationships/image" Id="rId36" Target="media/rId36.png" /><Relationship Type="http://schemas.openxmlformats.org/officeDocument/2006/relationships/image" Id="rId29" Target="media/rId29.png" /><Relationship Type="http://schemas.openxmlformats.org/officeDocument/2006/relationships/image" Id="rId26" Target="media/rId26.png" /><Relationship Type="http://schemas.openxmlformats.org/officeDocument/2006/relationships/image" Id="rId40" Target="media/rId40.png" /><Relationship Type="http://schemas.openxmlformats.org/officeDocument/2006/relationships/image" Id="rId44" Target="media/rId44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Costlier Candles, Quiet Prophets: How Religion Meets Inflation in the Croatian Digital Media Space, 2021–2026</dc:title>
  <dc:creator/>
  <dc:language>en</dc:language>
  <cp:keywords/>
  <dcterms:created xsi:type="dcterms:W3CDTF">2026-07-06T11:04:34Z</dcterms:created>
  <dcterms:modified xsi:type="dcterms:W3CDTF">2026-07-06T11:04:34Z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iblio-config">
    <vt:lpwstr>True</vt:lpwstr>
  </property>
  <property fmtid="{D5CDD505-2E9C-101B-9397-08002B2CF9AE}" pid="3" name="execute">
    <vt:lpwstr/>
  </property>
  <property fmtid="{D5CDD505-2E9C-101B-9397-08002B2CF9AE}" pid="4" name="header-includes">
    <vt:lpwstr/>
  </property>
  <property fmtid="{D5CDD505-2E9C-101B-9397-08002B2CF9AE}" pid="5" name="include-after">
    <vt:lpwstr/>
  </property>
  <property fmtid="{D5CDD505-2E9C-101B-9397-08002B2CF9AE}" pid="6" name="include-before">
    <vt:lpwstr/>
  </property>
  <property fmtid="{D5CDD505-2E9C-101B-9397-08002B2CF9AE}" pid="7" name="labels">
    <vt:lpwstr/>
  </property>
  <property fmtid="{D5CDD505-2E9C-101B-9397-08002B2CF9AE}" pid="8" name="toc-title">
    <vt:lpwstr>Table of contents</vt:lpwstr>
  </property>
</Properties>
</file>